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bCs/>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深汕局2022年度价格调研</w:t>
      </w: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 QC0342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Pr>
        <w:pStyle w:val="29"/>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九</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5"/>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"_Toc110410359"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_Toc110410359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_Toc110410360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_Toc110410361 \h </w:instrText>
          </w:r>
          <w:r>
            <w:rPr>
              <w:rFonts w:hint="eastAsia" w:ascii="仿宋_GB2312" w:eastAsia="仿宋_GB2312"/>
              <w:sz w:val="24"/>
            </w:rPr>
            <w:fldChar w:fldCharType="separate"/>
          </w:r>
          <w:r>
            <w:rPr>
              <w:rFonts w:ascii="仿宋_GB2312" w:eastAsia="仿宋_GB2312"/>
              <w:sz w:val="24"/>
            </w:rPr>
            <w:t>10</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_Toc110410362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_Toc110410363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_Toc110410364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_Toc110410365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_Toc110410366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_Toc110410369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_Toc110410370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_Toc110410372 \h </w:instrText>
          </w:r>
          <w:r>
            <w:rPr>
              <w:rFonts w:hint="eastAsia" w:ascii="仿宋_GB2312" w:eastAsia="仿宋_GB2312"/>
              <w:sz w:val="24"/>
            </w:rPr>
            <w:fldChar w:fldCharType="separate"/>
          </w:r>
          <w:r>
            <w:rPr>
              <w:rFonts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_Toc110410373 \h </w:instrText>
          </w:r>
          <w:r>
            <w:rPr>
              <w:rFonts w:hint="eastAsia" w:ascii="仿宋_GB2312" w:eastAsia="仿宋_GB2312"/>
              <w:sz w:val="24"/>
            </w:rPr>
            <w:fldChar w:fldCharType="separate"/>
          </w:r>
          <w:r>
            <w:rPr>
              <w:rFonts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_Toc110410374 \h </w:instrText>
          </w:r>
          <w:r>
            <w:rPr>
              <w:rFonts w:hint="eastAsia" w:ascii="仿宋_GB2312" w:eastAsia="仿宋_GB2312"/>
              <w:sz w:val="24"/>
            </w:rPr>
            <w:fldChar w:fldCharType="separate"/>
          </w:r>
          <w:r>
            <w:rPr>
              <w:rFonts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_Toc110410376 \h </w:instrText>
          </w:r>
          <w:r>
            <w:rPr>
              <w:rFonts w:hint="eastAsia" w:ascii="仿宋_GB2312" w:eastAsia="仿宋_GB2312"/>
              <w:sz w:val="24"/>
            </w:rPr>
            <w:fldChar w:fldCharType="separate"/>
          </w:r>
          <w:r>
            <w:rPr>
              <w:rFonts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_Toc110410377 \h </w:instrText>
          </w:r>
          <w:r>
            <w:rPr>
              <w:rFonts w:hint="eastAsia" w:ascii="仿宋_GB2312" w:eastAsia="仿宋_GB2312"/>
              <w:sz w:val="24"/>
            </w:rPr>
            <w:fldChar w:fldCharType="separate"/>
          </w:r>
          <w:r>
            <w:rPr>
              <w:rFonts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_Toc110410378 \h </w:instrText>
          </w:r>
          <w:r>
            <w:rPr>
              <w:rFonts w:hint="eastAsia" w:ascii="仿宋_GB2312" w:eastAsia="仿宋_GB2312"/>
              <w:sz w:val="24"/>
            </w:rPr>
            <w:fldChar w:fldCharType="separate"/>
          </w:r>
          <w:r>
            <w:rPr>
              <w:rFonts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_Toc110410380 \h </w:instrText>
          </w:r>
          <w:r>
            <w:rPr>
              <w:rFonts w:hint="eastAsia" w:ascii="仿宋_GB2312" w:eastAsia="仿宋_GB2312"/>
              <w:sz w:val="24"/>
            </w:rPr>
            <w:fldChar w:fldCharType="separate"/>
          </w:r>
          <w:r>
            <w:rPr>
              <w:rFonts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_Toc110410381 \h </w:instrText>
          </w:r>
          <w:r>
            <w:rPr>
              <w:rFonts w:hint="eastAsia" w:ascii="仿宋_GB2312" w:eastAsia="仿宋_GB2312"/>
              <w:sz w:val="24"/>
            </w:rPr>
            <w:fldChar w:fldCharType="separate"/>
          </w:r>
          <w:r>
            <w:rPr>
              <w:rFonts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_Toc110410382 \h </w:instrText>
          </w:r>
          <w:r>
            <w:rPr>
              <w:rFonts w:hint="eastAsia" w:ascii="仿宋_GB2312" w:eastAsia="仿宋_GB2312"/>
              <w:sz w:val="24"/>
            </w:rPr>
            <w:fldChar w:fldCharType="separate"/>
          </w:r>
          <w:r>
            <w:rPr>
              <w:rFonts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_Toc110410383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_Toc110410384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_Toc110410385 \h </w:instrText>
          </w:r>
          <w:r>
            <w:rPr>
              <w:rFonts w:hint="eastAsia" w:ascii="仿宋_GB2312" w:eastAsia="仿宋_GB2312"/>
              <w:sz w:val="24"/>
            </w:rPr>
            <w:fldChar w:fldCharType="separate"/>
          </w:r>
          <w:r>
            <w:rPr>
              <w:rFonts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_Toc110410386 \h </w:instrText>
          </w:r>
          <w:r>
            <w:rPr>
              <w:rFonts w:hint="eastAsia" w:ascii="仿宋_GB2312" w:eastAsia="仿宋_GB2312"/>
              <w:sz w:val="24"/>
            </w:rPr>
            <w:fldChar w:fldCharType="separate"/>
          </w:r>
          <w:r>
            <w:rPr>
              <w:rFonts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fldChar w:fldCharType="begin"/>
          </w:r>
          <w:r>
            <w:instrText xml:space="preserve"> HYPERLINK \l "_Toc110410387"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_Toc110410387 \h </w:instrText>
          </w:r>
          <w:r>
            <w:rPr>
              <w:rFonts w:hint="eastAsia" w:ascii="仿宋_GB2312" w:eastAsia="仿宋_GB2312"/>
              <w:sz w:val="24"/>
            </w:rPr>
            <w:fldChar w:fldCharType="separate"/>
          </w:r>
          <w:r>
            <w:rPr>
              <w:rFonts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4"/>
      </w:pPr>
      <w:bookmarkStart w:id="0" w:name="_Toc1104103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深汕局2022年度价格调研服务项目</w:t>
      </w:r>
      <w:bookmarkStart w:id="96" w:name="_GoBack"/>
      <w:bookmarkEnd w:id="96"/>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00</w:t>
      </w:r>
      <w:r>
        <w:rPr>
          <w:rFonts w:hint="eastAsia" w:ascii="宋体" w:hAnsi="宋体" w:cs="Arial Unicode MS"/>
          <w:snapToGrid w:val="0"/>
          <w:kern w:val="0"/>
          <w:szCs w:val="21"/>
          <w:u w:val="single"/>
        </w:rPr>
        <w:t>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SZZZ2022- QC0342</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深汕局2022年度价格调研服务项目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17.6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17.6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6"/>
              <w:spacing w:line="360" w:lineRule="auto"/>
              <w:jc w:val="center"/>
              <w:rPr>
                <w:sz w:val="21"/>
              </w:rPr>
            </w:pPr>
            <w:r>
              <w:rPr>
                <w:sz w:val="21"/>
              </w:rPr>
              <w:t>标的名称</w:t>
            </w:r>
          </w:p>
        </w:tc>
        <w:tc>
          <w:tcPr>
            <w:tcW w:w="921"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6"/>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深汕局2022年度价格调研服务项目</w:t>
            </w:r>
          </w:p>
        </w:tc>
        <w:tc>
          <w:tcPr>
            <w:tcW w:w="92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2022年09月</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b w:val="0"/>
          <w:bCs w:val="0"/>
          <w:snapToGrid w:val="0"/>
          <w:color w:val="auto"/>
          <w:sz w:val="21"/>
          <w:szCs w:val="21"/>
          <w:u w:val="single"/>
        </w:rPr>
        <w:t>2022年</w:t>
      </w:r>
      <w:r>
        <w:rPr>
          <w:rFonts w:hint="eastAsia" w:ascii="宋体" w:hAnsi="宋体" w:eastAsia="宋体"/>
          <w:b w:val="0"/>
          <w:bCs w:val="0"/>
          <w:snapToGrid w:val="0"/>
          <w:color w:val="auto"/>
          <w:sz w:val="21"/>
          <w:szCs w:val="21"/>
          <w:u w:val="single"/>
          <w:lang w:val="en-US" w:eastAsia="zh-CN"/>
        </w:rPr>
        <w:t>10</w:t>
      </w:r>
      <w:r>
        <w:rPr>
          <w:rFonts w:hint="eastAsia" w:ascii="宋体" w:hAnsi="宋体" w:eastAsia="宋体"/>
          <w:b w:val="0"/>
          <w:bCs w:val="0"/>
          <w:snapToGrid w:val="0"/>
          <w:color w:val="auto"/>
          <w:sz w:val="21"/>
          <w:szCs w:val="21"/>
          <w:u w:val="single"/>
        </w:rPr>
        <w:t>月</w:t>
      </w:r>
      <w:r>
        <w:rPr>
          <w:rFonts w:hint="eastAsia" w:ascii="宋体" w:hAnsi="宋体" w:eastAsia="宋体"/>
          <w:b w:val="0"/>
          <w:bCs w:val="0"/>
          <w:snapToGrid w:val="0"/>
          <w:color w:val="auto"/>
          <w:sz w:val="21"/>
          <w:szCs w:val="21"/>
          <w:u w:val="single"/>
          <w:lang w:val="en-US" w:eastAsia="zh-CN"/>
        </w:rPr>
        <w:t>14</w:t>
      </w:r>
      <w:r>
        <w:rPr>
          <w:rFonts w:hint="eastAsia" w:ascii="宋体" w:hAnsi="宋体" w:eastAsia="宋体"/>
          <w:b w:val="0"/>
          <w:bCs w:val="0"/>
          <w:snapToGrid w:val="0"/>
          <w:color w:val="auto"/>
          <w:sz w:val="21"/>
          <w:szCs w:val="21"/>
          <w:u w:val="single"/>
        </w:rPr>
        <w:t>日</w:t>
      </w:r>
      <w:r>
        <w:rPr>
          <w:rFonts w:hint="eastAsia" w:ascii="宋体" w:hAnsi="宋体" w:eastAsia="宋体"/>
          <w:b w:val="0"/>
          <w:bCs w:val="0"/>
          <w:snapToGrid w:val="0"/>
          <w:color w:val="auto"/>
          <w:sz w:val="21"/>
          <w:szCs w:val="21"/>
          <w:u w:val="single"/>
          <w:lang w:val="en-US" w:eastAsia="zh-CN"/>
        </w:rPr>
        <w:t>10</w:t>
      </w:r>
      <w:r>
        <w:rPr>
          <w:rFonts w:hint="eastAsia" w:ascii="宋体" w:hAnsi="宋体" w:eastAsia="宋体"/>
          <w:b w:val="0"/>
          <w:bCs w:val="0"/>
          <w:snapToGrid w:val="0"/>
          <w:color w:val="auto"/>
          <w:sz w:val="21"/>
          <w:szCs w:val="21"/>
          <w:u w:val="single"/>
        </w:rPr>
        <w:t>点</w:t>
      </w:r>
      <w:r>
        <w:rPr>
          <w:rFonts w:hint="eastAsia" w:ascii="宋体" w:hAnsi="宋体" w:eastAsia="宋体"/>
          <w:b w:val="0"/>
          <w:bCs w:val="0"/>
          <w:snapToGrid w:val="0"/>
          <w:color w:val="auto"/>
          <w:sz w:val="21"/>
          <w:szCs w:val="21"/>
          <w:u w:val="single"/>
          <w:lang w:val="en-US" w:eastAsia="zh-CN"/>
        </w:rPr>
        <w:t>00</w:t>
      </w:r>
      <w:r>
        <w:rPr>
          <w:rFonts w:hint="eastAsia" w:ascii="宋体" w:hAnsi="宋体" w:eastAsia="宋体"/>
          <w:b w:val="0"/>
          <w:bCs w:val="0"/>
          <w:snapToGrid w:val="0"/>
          <w:color w:val="auto"/>
          <w:sz w:val="21"/>
          <w:szCs w:val="21"/>
          <w:u w:val="single"/>
        </w:rPr>
        <w:t>分</w:t>
      </w:r>
      <w:r>
        <w:rPr>
          <w:rFonts w:hint="eastAsia" w:ascii="宋体" w:hAnsi="宋体" w:eastAsia="宋体"/>
          <w:snapToGrid w:val="0"/>
          <w:color w:val="auto"/>
          <w:sz w:val="21"/>
          <w:szCs w:val="21"/>
          <w:u w:val="single"/>
        </w:rPr>
        <w:t>（北京时间）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名称：深圳市市场监督管理局深汕监管局</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地址：深圳市深汕特别合作区鲘门高铁组团深汕湾科技园项目2栋3楼</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谢工，0755-22101894</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09</w:t>
      </w:r>
      <w:r>
        <w:rPr>
          <w:rFonts w:ascii="宋体" w:hAnsi="宋体"/>
          <w:snapToGrid w:val="0"/>
          <w:kern w:val="0"/>
          <w:sz w:val="24"/>
        </w:rPr>
        <w:t>月</w:t>
      </w:r>
      <w:r>
        <w:rPr>
          <w:rFonts w:hint="eastAsia" w:ascii="宋体" w:hAnsi="宋体"/>
          <w:snapToGrid w:val="0"/>
          <w:kern w:val="0"/>
          <w:sz w:val="24"/>
          <w:lang w:val="en-US" w:eastAsia="zh-CN"/>
        </w:rPr>
        <w:t>30</w:t>
      </w:r>
      <w:r>
        <w:rPr>
          <w:rFonts w:hint="eastAsia" w:ascii="宋体" w:hAnsi="宋体"/>
          <w:snapToGrid w:val="0"/>
          <w:kern w:val="0"/>
          <w:sz w:val="24"/>
        </w:rPr>
        <w:t>日</w:t>
      </w:r>
    </w:p>
    <w:p/>
    <w:p>
      <w:pPr>
        <w:widowControl/>
        <w:jc w:val="left"/>
      </w:pPr>
      <w:r>
        <w:br w:type="page"/>
      </w:r>
    </w:p>
    <w:p/>
    <w:p>
      <w:pPr>
        <w:pStyle w:val="4"/>
      </w:pPr>
      <w:bookmarkStart w:id="1" w:name="_Toc1104103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采购预算金额</w:t>
            </w:r>
          </w:p>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
                <w:szCs w:val="21"/>
              </w:rPr>
            </w:pPr>
            <w:r>
              <w:rPr>
                <w:rFonts w:hint="eastAsia" w:ascii="宋体" w:hAnsi="宋体" w:eastAsia="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eastAsia="宋体" w:cs="宋体"/>
                <w:snapToGrid w:val="0"/>
                <w:szCs w:val="21"/>
                <w:lang w:eastAsia="zh-CN"/>
              </w:rPr>
              <w:t>深汕局2022年度价格调研服务项目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176,000.00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rPr>
        <w:t>为</w:t>
      </w:r>
      <w:r>
        <w:rPr>
          <w:rFonts w:hint="eastAsia" w:cs="Times New Roman"/>
          <w:snapToGrid/>
          <w:spacing w:val="0"/>
          <w:sz w:val="21"/>
          <w:szCs w:val="21"/>
          <w:lang w:eastAsia="zh-CN"/>
        </w:rPr>
        <w:t>保障</w:t>
      </w:r>
      <w:r>
        <w:rPr>
          <w:rFonts w:hint="eastAsia" w:cs="Times New Roman"/>
          <w:snapToGrid/>
          <w:spacing w:val="0"/>
          <w:sz w:val="21"/>
          <w:szCs w:val="21"/>
          <w:lang w:val="en-US" w:eastAsia="zh-CN"/>
        </w:rPr>
        <w:t>采购人所在区域的</w:t>
      </w:r>
      <w:r>
        <w:rPr>
          <w:rFonts w:hint="eastAsia" w:cs="Times New Roman"/>
          <w:snapToGrid/>
          <w:spacing w:val="0"/>
          <w:sz w:val="21"/>
          <w:szCs w:val="21"/>
          <w:lang w:eastAsia="zh-CN"/>
        </w:rPr>
        <w:t>农产品、重点领域商品价格及供应稳定，强化价格监测预警，持续做好蔬菜、肉类等民生商品和防疫物质的价格监测预警；同时对辖区及周边区域相关重点民生领域商品价格情况进行调研。</w:t>
      </w:r>
      <w:r>
        <w:rPr>
          <w:rFonts w:hint="eastAsia" w:cs="Times New Roman"/>
          <w:snapToGrid/>
          <w:spacing w:val="0"/>
          <w:sz w:val="21"/>
          <w:szCs w:val="21"/>
        </w:rPr>
        <w:t>拟</w:t>
      </w:r>
      <w:r>
        <w:rPr>
          <w:rFonts w:hint="eastAsia" w:cs="Times New Roman"/>
          <w:snapToGrid/>
          <w:spacing w:val="0"/>
          <w:sz w:val="21"/>
          <w:szCs w:val="21"/>
          <w:lang w:eastAsia="zh-CN"/>
        </w:rPr>
        <w:t>委托第三方专业机构对辖区及周边农产品和重点领域商品的价格、供应情况进行监测和调研，保障辖区农产品、重点领域商品价格及供应稳定；同时对辖区和周边区域重点民生领域同类商品的价格水平进行调研和对比，</w:t>
      </w:r>
      <w:r>
        <w:rPr>
          <w:rFonts w:hint="eastAsia" w:cs="Times New Roman"/>
          <w:snapToGrid/>
          <w:spacing w:val="0"/>
          <w:sz w:val="21"/>
          <w:szCs w:val="21"/>
        </w:rPr>
        <w:t>了解</w:t>
      </w:r>
      <w:r>
        <w:rPr>
          <w:rFonts w:hint="eastAsia" w:cs="Times New Roman"/>
          <w:snapToGrid/>
          <w:spacing w:val="0"/>
          <w:sz w:val="21"/>
          <w:szCs w:val="21"/>
          <w:lang w:eastAsia="zh-CN"/>
        </w:rPr>
        <w:t>相关领域</w:t>
      </w:r>
      <w:r>
        <w:rPr>
          <w:rFonts w:hint="eastAsia" w:cs="Times New Roman"/>
          <w:snapToGrid/>
          <w:spacing w:val="0"/>
          <w:sz w:val="21"/>
          <w:szCs w:val="21"/>
        </w:rPr>
        <w:t>存在的问题，</w:t>
      </w:r>
      <w:r>
        <w:rPr>
          <w:rFonts w:hint="eastAsia" w:cs="Times New Roman"/>
          <w:snapToGrid/>
          <w:spacing w:val="0"/>
          <w:sz w:val="21"/>
          <w:szCs w:val="21"/>
          <w:lang w:eastAsia="zh-CN"/>
        </w:rPr>
        <w:t>并</w:t>
      </w:r>
      <w:r>
        <w:rPr>
          <w:rFonts w:hint="eastAsia" w:cs="Times New Roman"/>
          <w:snapToGrid/>
          <w:spacing w:val="0"/>
          <w:sz w:val="21"/>
          <w:szCs w:val="21"/>
        </w:rPr>
        <w:t>提供解决问题的策略</w:t>
      </w:r>
      <w:r>
        <w:rPr>
          <w:rFonts w:hint="eastAsia" w:cs="Times New Roman"/>
          <w:snapToGrid/>
          <w:spacing w:val="0"/>
          <w:sz w:val="21"/>
          <w:szCs w:val="21"/>
          <w:lang w:eastAsia="zh-CN"/>
        </w:rPr>
        <w:t>，分析合作区物价与经济发展水平，为合作区稳住物价、保持经济平稳较快发展、保障民生提供决策分析。</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hint="default" w:cs="Times New Roman"/>
          <w:b/>
          <w:bCs/>
          <w:snapToGrid/>
          <w:spacing w:val="0"/>
          <w:sz w:val="21"/>
          <w:szCs w:val="21"/>
          <w:lang w:val="en-US"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三</w:t>
      </w: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服务分项费用明细</w:t>
      </w:r>
    </w:p>
    <w:tbl>
      <w:tblPr>
        <w:tblStyle w:val="50"/>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070"/>
        <w:gridCol w:w="3825"/>
        <w:gridCol w:w="1485"/>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9" w:type="dxa"/>
            <w:noWrap w:val="0"/>
            <w:vAlign w:val="center"/>
          </w:tcPr>
          <w:p>
            <w:pPr>
              <w:tabs>
                <w:tab w:val="left" w:pos="3223"/>
              </w:tabs>
              <w:bidi w:val="0"/>
              <w:jc w:val="center"/>
              <w:rPr>
                <w:rFonts w:hint="eastAsia" w:ascii="宋体" w:hAnsi="宋体" w:eastAsia="宋体" w:cs="宋体"/>
                <w:bCs/>
                <w:szCs w:val="21"/>
              </w:rPr>
            </w:pPr>
            <w:r>
              <w:rPr>
                <w:rFonts w:hint="eastAsia" w:ascii="宋体" w:hAnsi="宋体" w:eastAsia="宋体" w:cs="宋体"/>
                <w:bCs/>
                <w:szCs w:val="21"/>
              </w:rPr>
              <w:t>序号</w:t>
            </w:r>
          </w:p>
        </w:tc>
        <w:tc>
          <w:tcPr>
            <w:tcW w:w="2070" w:type="dxa"/>
            <w:noWrap w:val="0"/>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需求内容</w:t>
            </w:r>
          </w:p>
        </w:tc>
        <w:tc>
          <w:tcPr>
            <w:tcW w:w="3825" w:type="dxa"/>
            <w:noWrap w:val="0"/>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行业</w:t>
            </w:r>
          </w:p>
        </w:tc>
        <w:tc>
          <w:tcPr>
            <w:tcW w:w="1485" w:type="dxa"/>
            <w:noWrap w:val="0"/>
            <w:vAlign w:val="center"/>
          </w:tcPr>
          <w:p>
            <w:pPr>
              <w:jc w:val="center"/>
              <w:rPr>
                <w:rFonts w:hint="eastAsia" w:ascii="宋体" w:hAnsi="宋体" w:eastAsia="宋体" w:cs="宋体"/>
                <w:lang w:eastAsia="zh-CN"/>
              </w:rPr>
            </w:pPr>
            <w:r>
              <w:rPr>
                <w:rFonts w:hint="eastAsia" w:ascii="宋体" w:hAnsi="宋体" w:eastAsia="宋体" w:cs="宋体"/>
                <w:lang w:eastAsia="zh-CN"/>
              </w:rPr>
              <w:t>数量（家）</w:t>
            </w:r>
          </w:p>
        </w:tc>
        <w:tc>
          <w:tcPr>
            <w:tcW w:w="1446" w:type="dxa"/>
            <w:noWrap w:val="0"/>
            <w:vAlign w:val="center"/>
          </w:tcPr>
          <w:p>
            <w:pPr>
              <w:jc w:val="center"/>
              <w:rPr>
                <w:rFonts w:hint="eastAsia" w:ascii="宋体" w:hAnsi="宋体" w:cs="宋体"/>
                <w:lang w:val="en-US" w:eastAsia="zh-CN"/>
              </w:rPr>
            </w:pPr>
            <w:r>
              <w:rPr>
                <w:rFonts w:hint="eastAsia" w:ascii="宋体" w:hAnsi="宋体" w:cs="宋体"/>
                <w:lang w:val="en-US" w:eastAsia="zh-CN"/>
              </w:rPr>
              <w:t>单项上限</w:t>
            </w:r>
          </w:p>
          <w:p>
            <w:pPr>
              <w:jc w:val="center"/>
              <w:rPr>
                <w:rFonts w:hint="eastAsia" w:ascii="宋体" w:hAnsi="宋体" w:eastAsia="宋体" w:cs="宋体"/>
              </w:rPr>
            </w:pPr>
            <w:r>
              <w:rPr>
                <w:rFonts w:hint="eastAsia" w:ascii="宋体" w:hAnsi="宋体" w:eastAsia="宋体" w:cs="宋体"/>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9" w:type="dxa"/>
            <w:noWrap w:val="0"/>
            <w:vAlign w:val="center"/>
          </w:tcPr>
          <w:p>
            <w:pPr>
              <w:jc w:val="center"/>
              <w:rPr>
                <w:rFonts w:hint="eastAsia" w:ascii="宋体" w:hAnsi="宋体" w:eastAsia="宋体" w:cs="宋体"/>
                <w:bCs/>
                <w:szCs w:val="21"/>
              </w:rPr>
            </w:pPr>
            <w:r>
              <w:rPr>
                <w:rFonts w:hint="eastAsia" w:ascii="宋体" w:hAnsi="宋体" w:eastAsia="宋体" w:cs="宋体"/>
                <w:bCs/>
                <w:szCs w:val="21"/>
              </w:rPr>
              <w:t>1</w:t>
            </w:r>
          </w:p>
        </w:tc>
        <w:tc>
          <w:tcPr>
            <w:tcW w:w="2070"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价格预警</w:t>
            </w:r>
          </w:p>
        </w:tc>
        <w:tc>
          <w:tcPr>
            <w:tcW w:w="3825" w:type="dxa"/>
            <w:noWrap w:val="0"/>
            <w:vAlign w:val="center"/>
          </w:tcPr>
          <w:p>
            <w:pPr>
              <w:jc w:val="center"/>
              <w:rPr>
                <w:rFonts w:hint="eastAsia" w:ascii="宋体" w:hAnsi="宋体" w:eastAsia="宋体" w:cs="宋体"/>
                <w:bCs/>
                <w:szCs w:val="21"/>
                <w:lang w:eastAsia="zh-CN"/>
              </w:rPr>
            </w:pPr>
            <w:r>
              <w:rPr>
                <w:rFonts w:hint="eastAsia" w:ascii="宋体" w:hAnsi="宋体" w:eastAsia="宋体" w:cs="宋体"/>
                <w:lang w:eastAsia="zh-CN"/>
              </w:rPr>
              <w:t>农贸市场、商超、药店</w:t>
            </w:r>
          </w:p>
        </w:tc>
        <w:tc>
          <w:tcPr>
            <w:tcW w:w="1485"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15</w:t>
            </w:r>
          </w:p>
        </w:tc>
        <w:tc>
          <w:tcPr>
            <w:tcW w:w="1446"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15</w:t>
            </w:r>
            <w:r>
              <w:rPr>
                <w:rFonts w:hint="eastAsia" w:ascii="宋体" w:hAnsi="宋体" w:cs="宋体"/>
                <w:bCs/>
                <w:szCs w:val="21"/>
                <w:lang w:val="en-US" w:eastAsia="zh-CN"/>
              </w:rPr>
              <w:t>,</w:t>
            </w:r>
            <w:r>
              <w:rPr>
                <w:rFonts w:hint="eastAsia" w:ascii="宋体" w:hAnsi="宋体" w:eastAsia="宋体" w:cs="宋体"/>
                <w:bCs/>
                <w:szCs w:val="21"/>
                <w:lang w:val="en-US" w:eastAsia="zh-CN"/>
              </w:rPr>
              <w:t>000</w:t>
            </w:r>
            <w:r>
              <w:rPr>
                <w:rFonts w:hint="eastAsia" w:ascii="宋体" w:hAnsi="宋体" w:cs="宋体"/>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9" w:type="dxa"/>
            <w:noWrap w:val="0"/>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207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Cs w:val="21"/>
                <w:lang w:val="en-US" w:eastAsia="zh-CN"/>
              </w:rPr>
              <w:t>价格调研</w:t>
            </w:r>
          </w:p>
        </w:tc>
        <w:tc>
          <w:tcPr>
            <w:tcW w:w="3825" w:type="dxa"/>
            <w:noWrap w:val="0"/>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教育、医疗机构，转供水、电、气主体，加油站，房地产企业，银行，商会</w:t>
            </w:r>
          </w:p>
        </w:tc>
        <w:tc>
          <w:tcPr>
            <w:tcW w:w="1485"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232</w:t>
            </w:r>
          </w:p>
        </w:tc>
        <w:tc>
          <w:tcPr>
            <w:tcW w:w="1446" w:type="dxa"/>
            <w:noWrap w:val="0"/>
            <w:vAlign w:val="center"/>
          </w:tcPr>
          <w:p>
            <w:pPr>
              <w:jc w:val="center"/>
              <w:rPr>
                <w:rFonts w:hint="eastAsia" w:ascii="宋体" w:hAnsi="宋体" w:eastAsia="宋体" w:cs="宋体"/>
                <w:bCs w:val="0"/>
                <w:szCs w:val="24"/>
                <w:lang w:val="en-US" w:eastAsia="zh-CN"/>
              </w:rPr>
            </w:pPr>
            <w:r>
              <w:rPr>
                <w:rFonts w:hint="eastAsia" w:ascii="宋体" w:hAnsi="宋体" w:eastAsia="宋体" w:cs="宋体"/>
                <w:bCs w:val="0"/>
                <w:szCs w:val="24"/>
                <w:lang w:val="en-US" w:eastAsia="zh-CN"/>
              </w:rPr>
              <w:t>116</w:t>
            </w:r>
            <w:r>
              <w:rPr>
                <w:rFonts w:hint="eastAsia" w:ascii="宋体" w:hAnsi="宋体" w:cs="宋体"/>
                <w:bCs w:val="0"/>
                <w:szCs w:val="24"/>
                <w:lang w:val="en-US" w:eastAsia="zh-CN"/>
              </w:rPr>
              <w:t>,</w:t>
            </w:r>
            <w:r>
              <w:rPr>
                <w:rFonts w:hint="eastAsia" w:ascii="宋体" w:hAnsi="宋体" w:eastAsia="宋体" w:cs="宋体"/>
                <w:bCs w:val="0"/>
                <w:szCs w:val="24"/>
                <w:lang w:val="en-US" w:eastAsia="zh-CN"/>
              </w:rPr>
              <w:t>000</w:t>
            </w:r>
            <w:r>
              <w:rPr>
                <w:rFonts w:hint="eastAsia" w:ascii="宋体" w:hAnsi="宋体" w:cs="宋体"/>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9"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2070"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周边区域摸底调研</w:t>
            </w:r>
          </w:p>
        </w:tc>
        <w:tc>
          <w:tcPr>
            <w:tcW w:w="3825" w:type="dxa"/>
            <w:noWrap w:val="0"/>
            <w:vAlign w:val="center"/>
          </w:tcPr>
          <w:p>
            <w:pPr>
              <w:jc w:val="center"/>
              <w:rPr>
                <w:rFonts w:hint="eastAsia" w:ascii="宋体" w:hAnsi="宋体" w:eastAsia="宋体" w:cs="宋体"/>
                <w:lang w:eastAsia="zh-CN"/>
              </w:rPr>
            </w:pPr>
            <w:r>
              <w:rPr>
                <w:rFonts w:hint="eastAsia" w:ascii="宋体" w:hAnsi="宋体" w:eastAsia="宋体" w:cs="宋体"/>
                <w:bCs/>
                <w:szCs w:val="21"/>
                <w:lang w:eastAsia="zh-CN"/>
              </w:rPr>
              <w:t>教育、医疗机构，房地产企业</w:t>
            </w:r>
          </w:p>
        </w:tc>
        <w:tc>
          <w:tcPr>
            <w:tcW w:w="1485"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30</w:t>
            </w:r>
          </w:p>
        </w:tc>
        <w:tc>
          <w:tcPr>
            <w:tcW w:w="1446" w:type="dxa"/>
            <w:noWrap w:val="0"/>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45</w:t>
            </w:r>
            <w:r>
              <w:rPr>
                <w:rFonts w:hint="eastAsia" w:ascii="宋体" w:hAnsi="宋体" w:cs="宋体"/>
                <w:bCs/>
                <w:szCs w:val="21"/>
                <w:lang w:val="en-US" w:eastAsia="zh-CN"/>
              </w:rPr>
              <w:t>,</w:t>
            </w:r>
            <w:r>
              <w:rPr>
                <w:rFonts w:hint="eastAsia" w:ascii="宋体" w:hAnsi="宋体" w:eastAsia="宋体" w:cs="宋体"/>
                <w:bCs/>
                <w:szCs w:val="21"/>
                <w:lang w:val="en-US" w:eastAsia="zh-CN"/>
              </w:rPr>
              <w:t>000</w:t>
            </w:r>
            <w:r>
              <w:rPr>
                <w:rFonts w:hint="eastAsia" w:ascii="宋体" w:hAnsi="宋体" w:cs="宋体"/>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19" w:type="dxa"/>
            <w:gridSpan w:val="4"/>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合计</w:t>
            </w:r>
          </w:p>
        </w:tc>
        <w:tc>
          <w:tcPr>
            <w:tcW w:w="1446" w:type="dxa"/>
            <w:noWrap w:val="0"/>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176</w:t>
            </w:r>
            <w:r>
              <w:rPr>
                <w:rFonts w:hint="eastAsia" w:ascii="宋体" w:hAnsi="宋体" w:cs="宋体"/>
                <w:lang w:val="en-US" w:eastAsia="zh-CN"/>
              </w:rPr>
              <w:t>,</w:t>
            </w:r>
            <w:r>
              <w:rPr>
                <w:rFonts w:hint="eastAsia" w:ascii="宋体" w:hAnsi="宋体" w:eastAsia="宋体" w:cs="宋体"/>
                <w:lang w:val="en-US" w:eastAsia="zh-CN"/>
              </w:rPr>
              <w:t>000</w:t>
            </w:r>
            <w:r>
              <w:rPr>
                <w:rFonts w:hint="eastAsia" w:ascii="宋体" w:hAnsi="宋体" w:cs="宋体"/>
                <w:lang w:val="en-US" w:eastAsia="zh-CN"/>
              </w:rPr>
              <w:t>.00</w:t>
            </w:r>
          </w:p>
        </w:tc>
      </w:tr>
    </w:tbl>
    <w:p>
      <w:pPr>
        <w:pStyle w:val="506"/>
        <w:keepNext w:val="0"/>
        <w:keepLines w:val="0"/>
        <w:pageBreakBefore w:val="0"/>
        <w:widowControl/>
        <w:kinsoku/>
        <w:wordWrap/>
        <w:overflowPunct/>
        <w:topLinePunct w:val="0"/>
        <w:autoSpaceDE/>
        <w:autoSpaceDN/>
        <w:bidi w:val="0"/>
        <w:adjustRightInd/>
        <w:snapToGrid/>
        <w:spacing w:afterLines="0" w:line="360" w:lineRule="auto"/>
        <w:ind w:firstLine="420" w:firstLineChars="200"/>
        <w:textAlignment w:val="auto"/>
        <w:rPr>
          <w:rFonts w:hint="default" w:cs="Times New Roman"/>
          <w:b/>
          <w:bCs/>
          <w:snapToGrid/>
          <w:spacing w:val="0"/>
          <w:sz w:val="21"/>
          <w:szCs w:val="21"/>
          <w:lang w:val="en-US" w:eastAsia="zh-CN"/>
        </w:rPr>
      </w:pPr>
      <w:r>
        <w:rPr>
          <w:rFonts w:hint="eastAsia" w:cs="Times New Roman"/>
          <w:b w:val="0"/>
          <w:bCs w:val="0"/>
          <w:snapToGrid/>
          <w:spacing w:val="0"/>
          <w:sz w:val="21"/>
          <w:szCs w:val="21"/>
          <w:lang w:val="en-US" w:eastAsia="zh-CN"/>
        </w:rPr>
        <w:t>备注：</w:t>
      </w:r>
      <w:r>
        <w:rPr>
          <w:rFonts w:hint="eastAsia" w:cs="Times New Roman"/>
          <w:b/>
          <w:bCs/>
          <w:snapToGrid/>
          <w:spacing w:val="0"/>
          <w:sz w:val="21"/>
          <w:szCs w:val="21"/>
          <w:highlight w:val="yellow"/>
          <w:lang w:val="en-US" w:eastAsia="zh-CN"/>
        </w:rPr>
        <w:t>分项报价超过单项上限金额的将导致投标无效。</w:t>
      </w:r>
      <w:r>
        <w:rPr>
          <w:rFonts w:hint="default" w:cs="Times New Roman"/>
          <w:b w:val="0"/>
          <w:bCs w:val="0"/>
          <w:snapToGrid/>
          <w:spacing w:val="0"/>
          <w:sz w:val="21"/>
          <w:szCs w:val="21"/>
          <w:lang w:val="en-US" w:eastAsia="zh-CN"/>
        </w:rPr>
        <w:t>本项目实行包干制，服务费用包含办公用材费、交通费、食宿、人工费、审计复核报告工本费及其他履行项目所需的费用。其中</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价格预警</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在辖区设置15个价格监测点，2022年10月10日起（具体以合同签订之日为准），每个工作日和法定节假日上报指定商品价格图片及供应情况，每个点费用预算1000元，共计15×1000=15000（元）；</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价格调研</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调查232家主体，每个主体调研费用预计500元，共计232×500=116000（元）；</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周边区域摸底调研</w:t>
      </w:r>
      <w:r>
        <w:rPr>
          <w:rFonts w:hint="eastAsia" w:cs="Times New Roman"/>
          <w:b w:val="0"/>
          <w:bCs w:val="0"/>
          <w:snapToGrid/>
          <w:spacing w:val="0"/>
          <w:sz w:val="21"/>
          <w:szCs w:val="21"/>
          <w:lang w:val="en-US" w:eastAsia="zh-CN"/>
        </w:rPr>
        <w:t>’</w:t>
      </w:r>
      <w:r>
        <w:rPr>
          <w:rFonts w:hint="default" w:cs="Times New Roman"/>
          <w:b w:val="0"/>
          <w:bCs w:val="0"/>
          <w:snapToGrid/>
          <w:spacing w:val="0"/>
          <w:sz w:val="21"/>
          <w:szCs w:val="21"/>
          <w:lang w:val="en-US" w:eastAsia="zh-CN"/>
        </w:rPr>
        <w:t>调查主体30家，每个主体调研费用预计费用1500元，共计30×1500=45000（元）；累计金额15000+116000+45000=176000（元）。</w:t>
      </w:r>
    </w:p>
    <w:p>
      <w:pPr>
        <w:pStyle w:val="321"/>
        <w:ind w:firstLine="0" w:firstLineChars="0"/>
        <w:rPr>
          <w:rFonts w:hint="eastAsia"/>
          <w:b/>
        </w:rPr>
      </w:pPr>
    </w:p>
    <w:p>
      <w:pPr>
        <w:pStyle w:val="321"/>
        <w:ind w:firstLine="0" w:firstLineChars="0"/>
        <w:rPr>
          <w:b/>
        </w:rPr>
      </w:pPr>
      <w:r>
        <w:rPr>
          <w:rFonts w:hint="eastAsia"/>
          <w:b/>
        </w:rPr>
        <w:t>二、项目服务要求</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（1）工作日和法定节假日每天更新各监测点</w:t>
      </w:r>
      <w:r>
        <w:rPr>
          <w:rFonts w:hint="eastAsia" w:cs="Times New Roman"/>
          <w:snapToGrid/>
          <w:spacing w:val="0"/>
          <w:sz w:val="21"/>
          <w:szCs w:val="21"/>
        </w:rPr>
        <w:t>指定</w:t>
      </w:r>
      <w:r>
        <w:rPr>
          <w:rFonts w:hint="eastAsia" w:cs="Times New Roman"/>
          <w:snapToGrid/>
          <w:spacing w:val="0"/>
          <w:sz w:val="21"/>
          <w:szCs w:val="21"/>
          <w:lang w:eastAsia="zh-CN"/>
        </w:rPr>
        <w:t>商品的当日价格及供应情况，提供相关商品价格图片，分析和调查价格波动原因，并将相关数据材料汇总后上报至</w:t>
      </w:r>
      <w:r>
        <w:rPr>
          <w:rFonts w:hint="eastAsia" w:cs="Times New Roman"/>
          <w:snapToGrid/>
          <w:spacing w:val="0"/>
          <w:sz w:val="21"/>
          <w:szCs w:val="21"/>
          <w:lang w:val="en-US" w:eastAsia="zh-CN"/>
        </w:rPr>
        <w:t>采购人</w:t>
      </w:r>
      <w:r>
        <w:rPr>
          <w:rFonts w:hint="eastAsia" w:cs="Times New Roman"/>
          <w:snapToGrid/>
          <w:spacing w:val="0"/>
          <w:sz w:val="21"/>
          <w:szCs w:val="21"/>
          <w:lang w:eastAsia="zh-CN"/>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服务期间内，根据采购人要求完成一次对辖区及周边区域相关商品的价格调研，相关调研结果形成调研分析报告提供至采购人，报告内容需包含行业企业价格执行情况综合统计分析、行业价格存在的问题、行业价格问题解决的策略、如何更好的促进行业发展等。</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lang w:eastAsia="zh-CN"/>
        </w:rPr>
        <w:t>自合同签订之日起</w:t>
      </w:r>
      <w:r>
        <w:rPr>
          <w:rFonts w:hint="eastAsia" w:asciiTheme="minorEastAsia" w:hAnsiTheme="minorEastAsia" w:eastAsiaTheme="minorEastAsia"/>
          <w:b/>
          <w:highlight w:val="yellow"/>
        </w:rPr>
        <w:t>至202</w:t>
      </w:r>
      <w:r>
        <w:rPr>
          <w:rFonts w:hint="eastAsia" w:asciiTheme="minorEastAsia" w:hAnsiTheme="minorEastAsia" w:eastAsiaTheme="minorEastAsia"/>
          <w:b/>
          <w:highlight w:val="yellow"/>
          <w:lang w:val="en-US" w:eastAsia="zh-CN"/>
        </w:rPr>
        <w:t>2</w:t>
      </w:r>
      <w:r>
        <w:rPr>
          <w:rFonts w:hint="eastAsia" w:asciiTheme="minorEastAsia" w:hAnsiTheme="minorEastAsia" w:eastAsiaTheme="minorEastAsia"/>
          <w:b/>
          <w:highlight w:val="yellow"/>
        </w:rPr>
        <w:t>年</w:t>
      </w:r>
      <w:r>
        <w:rPr>
          <w:rFonts w:hint="eastAsia" w:asciiTheme="minorEastAsia" w:hAnsiTheme="minorEastAsia" w:eastAsiaTheme="minorEastAsia"/>
          <w:b/>
          <w:highlight w:val="yellow"/>
          <w:lang w:val="en-US" w:eastAsia="zh-CN"/>
        </w:rPr>
        <w:t>12</w:t>
      </w:r>
      <w:r>
        <w:rPr>
          <w:rFonts w:hint="eastAsia" w:asciiTheme="minorEastAsia" w:hAnsiTheme="minorEastAsia" w:eastAsiaTheme="minorEastAsia"/>
          <w:b/>
          <w:highlight w:val="yellow"/>
        </w:rPr>
        <w:t>月</w:t>
      </w:r>
      <w:r>
        <w:rPr>
          <w:rFonts w:hint="eastAsia" w:asciiTheme="minorEastAsia" w:hAnsiTheme="minorEastAsia" w:eastAsiaTheme="minorEastAsia"/>
          <w:b/>
          <w:highlight w:val="yellow"/>
          <w:lang w:val="en-US" w:eastAsia="zh-CN"/>
        </w:rPr>
        <w:t>15</w:t>
      </w:r>
      <w:r>
        <w:rPr>
          <w:rFonts w:hint="eastAsia" w:asciiTheme="minorEastAsia" w:hAnsiTheme="minorEastAsia" w:eastAsiaTheme="minorEastAsia"/>
          <w:b/>
          <w:highlight w:val="yellow"/>
        </w:rPr>
        <w:t>日。</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投标人报价应以人民币报价，包括但不限于</w:t>
      </w:r>
      <w:r>
        <w:rPr>
          <w:rFonts w:hint="default" w:cs="Times New Roman"/>
          <w:b w:val="0"/>
          <w:bCs w:val="0"/>
          <w:snapToGrid/>
          <w:spacing w:val="0"/>
          <w:sz w:val="21"/>
          <w:szCs w:val="21"/>
          <w:lang w:val="en-US" w:eastAsia="zh-CN"/>
        </w:rPr>
        <w:t>办公用材费、交通费、食宿、人工费、审计复核报告工本费及其他履行项目所需的费用</w:t>
      </w:r>
      <w:r>
        <w:rPr>
          <w:rFonts w:hint="eastAsia" w:ascii="宋体" w:hAnsi="宋体"/>
          <w:szCs w:val="21"/>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lang w:val="en-US" w:eastAsia="zh-CN"/>
        </w:rPr>
        <w:t>1.</w:t>
      </w:r>
      <w:r>
        <w:rPr>
          <w:rFonts w:hint="eastAsia" w:ascii="宋体" w:hAnsi="宋体"/>
          <w:szCs w:val="21"/>
          <w:lang w:eastAsia="zh-CN"/>
        </w:rPr>
        <w:t>预付款：合同签订后1</w:t>
      </w:r>
      <w:r>
        <w:rPr>
          <w:rFonts w:hint="eastAsia" w:ascii="宋体" w:hAnsi="宋体"/>
          <w:szCs w:val="21"/>
        </w:rPr>
        <w:t>5个工作日内支付合同总金额的百分之</w:t>
      </w:r>
      <w:r>
        <w:rPr>
          <w:rFonts w:hint="eastAsia" w:ascii="宋体" w:hAnsi="宋体"/>
          <w:szCs w:val="21"/>
          <w:lang w:eastAsia="zh-CN"/>
        </w:rPr>
        <w:t>五</w:t>
      </w:r>
      <w:r>
        <w:rPr>
          <w:rFonts w:hint="eastAsia" w:ascii="宋体" w:hAnsi="宋体"/>
          <w:szCs w:val="21"/>
        </w:rPr>
        <w:t>十（</w:t>
      </w:r>
      <w:r>
        <w:rPr>
          <w:rFonts w:hint="eastAsia" w:ascii="宋体" w:hAnsi="宋体"/>
          <w:szCs w:val="21"/>
          <w:lang w:val="en-US" w:eastAsia="zh-CN"/>
        </w:rPr>
        <w:t>5</w:t>
      </w:r>
      <w:r>
        <w:rPr>
          <w:rFonts w:hint="eastAsia" w:ascii="宋体" w:hAnsi="宋体"/>
          <w:szCs w:val="21"/>
        </w:rPr>
        <w:t>0%）。</w:t>
      </w:r>
    </w:p>
    <w:p>
      <w:pPr>
        <w:spacing w:line="360" w:lineRule="auto"/>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中期进度款</w:t>
      </w:r>
      <w:r>
        <w:rPr>
          <w:rFonts w:hint="eastAsia" w:ascii="宋体" w:hAnsi="宋体"/>
          <w:szCs w:val="21"/>
          <w:lang w:eastAsia="zh-CN"/>
        </w:rPr>
        <w:t>：收到</w:t>
      </w:r>
      <w:r>
        <w:rPr>
          <w:rFonts w:hint="eastAsia" w:ascii="宋体" w:hAnsi="宋体"/>
          <w:szCs w:val="21"/>
          <w:lang w:val="en-US" w:eastAsia="zh-CN"/>
        </w:rPr>
        <w:t>价格调研报告</w:t>
      </w:r>
      <w:r>
        <w:rPr>
          <w:rFonts w:hint="eastAsia" w:ascii="宋体" w:hAnsi="宋体"/>
          <w:szCs w:val="21"/>
          <w:lang w:eastAsia="zh-CN"/>
        </w:rPr>
        <w:t>后</w:t>
      </w:r>
      <w:r>
        <w:rPr>
          <w:rFonts w:hint="eastAsia" w:ascii="宋体" w:hAnsi="宋体"/>
          <w:szCs w:val="21"/>
        </w:rPr>
        <w:t>支付合同总金额的百分之</w:t>
      </w:r>
      <w:r>
        <w:rPr>
          <w:rFonts w:hint="eastAsia" w:ascii="宋体" w:hAnsi="宋体"/>
          <w:szCs w:val="21"/>
          <w:lang w:eastAsia="zh-CN"/>
        </w:rPr>
        <w:t>三</w:t>
      </w:r>
      <w:r>
        <w:rPr>
          <w:rFonts w:hint="eastAsia" w:ascii="宋体" w:hAnsi="宋体"/>
          <w:szCs w:val="21"/>
        </w:rPr>
        <w:t>十（</w:t>
      </w:r>
      <w:r>
        <w:rPr>
          <w:rFonts w:hint="eastAsia" w:ascii="宋体" w:hAnsi="宋体"/>
          <w:szCs w:val="21"/>
          <w:lang w:val="en-US" w:eastAsia="zh-CN"/>
        </w:rPr>
        <w:t>3</w:t>
      </w:r>
      <w:r>
        <w:rPr>
          <w:rFonts w:hint="eastAsia" w:ascii="宋体" w:hAnsi="宋体"/>
          <w:szCs w:val="21"/>
        </w:rPr>
        <w:t>0%）。</w:t>
      </w:r>
    </w:p>
    <w:p>
      <w:pPr>
        <w:spacing w:line="360" w:lineRule="auto"/>
        <w:ind w:firstLine="420" w:firstLineChars="200"/>
        <w:jc w:val="left"/>
        <w:rPr>
          <w:rFonts w:ascii="宋体" w:hAnsi="宋体"/>
          <w:szCs w:val="21"/>
        </w:rPr>
      </w:pPr>
      <w:r>
        <w:rPr>
          <w:rFonts w:hint="eastAsia" w:ascii="宋体" w:hAnsi="宋体"/>
          <w:szCs w:val="21"/>
          <w:lang w:val="en-US" w:eastAsia="zh-CN"/>
        </w:rPr>
        <w:t>3.</w:t>
      </w:r>
      <w:r>
        <w:rPr>
          <w:rFonts w:hint="eastAsia" w:ascii="宋体" w:hAnsi="宋体"/>
          <w:szCs w:val="21"/>
        </w:rPr>
        <w:t>剩余尾款</w:t>
      </w:r>
      <w:r>
        <w:rPr>
          <w:rFonts w:hint="eastAsia" w:ascii="宋体" w:hAnsi="宋体"/>
          <w:szCs w:val="21"/>
          <w:lang w:eastAsia="zh-CN"/>
        </w:rPr>
        <w:t>：收到价格预警总结报告后，</w:t>
      </w:r>
      <w:r>
        <w:rPr>
          <w:rFonts w:hint="eastAsia" w:ascii="宋体" w:hAnsi="宋体"/>
          <w:szCs w:val="21"/>
        </w:rPr>
        <w:t>项目验收完成，支付合同总金额的百分之</w:t>
      </w:r>
      <w:r>
        <w:rPr>
          <w:rFonts w:hint="eastAsia" w:ascii="宋体" w:hAnsi="宋体"/>
          <w:szCs w:val="21"/>
          <w:lang w:eastAsia="zh-CN"/>
        </w:rPr>
        <w:t>二</w:t>
      </w:r>
      <w:r>
        <w:rPr>
          <w:rFonts w:hint="eastAsia" w:ascii="宋体" w:hAnsi="宋体"/>
          <w:szCs w:val="21"/>
        </w:rPr>
        <w:t>十（</w:t>
      </w:r>
      <w:r>
        <w:rPr>
          <w:rFonts w:hint="eastAsia" w:ascii="宋体" w:hAnsi="宋体"/>
          <w:szCs w:val="21"/>
          <w:lang w:val="en-US" w:eastAsia="zh-CN"/>
        </w:rPr>
        <w:t>2</w:t>
      </w:r>
      <w:r>
        <w:rPr>
          <w:rFonts w:hint="eastAsia" w:ascii="宋体" w:hAnsi="宋体"/>
          <w:szCs w:val="21"/>
        </w:rPr>
        <w:t>0%）。</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（五）验收要求：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szCs w:val="21"/>
          <w:lang w:eastAsia="zh-CN"/>
        </w:rPr>
      </w:pPr>
      <w:r>
        <w:rPr>
          <w:rFonts w:hint="eastAsia" w:ascii="宋体" w:hAnsi="宋体"/>
          <w:szCs w:val="21"/>
          <w:lang w:eastAsia="zh-CN"/>
        </w:rPr>
        <w:t>供应商按要求完成项目服务工作，并提供验收报告后，双方验收通过。</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szCs w:val="21"/>
          <w:highlight w:val="yellow"/>
          <w:lang w:eastAsia="zh-CN"/>
        </w:rPr>
      </w:pPr>
      <w:r>
        <w:rPr>
          <w:rFonts w:hint="eastAsia" w:asciiTheme="minorEastAsia" w:hAnsiTheme="minorEastAsia" w:eastAsiaTheme="minorEastAsia"/>
          <w:highlight w:val="yellow"/>
        </w:rPr>
        <w:t>★</w:t>
      </w:r>
      <w:r>
        <w:rPr>
          <w:rFonts w:hint="eastAsia" w:ascii="宋体" w:hAnsi="宋体"/>
          <w:b/>
          <w:bCs/>
          <w:szCs w:val="21"/>
          <w:highlight w:val="yellow"/>
          <w:lang w:eastAsia="zh-CN"/>
        </w:rPr>
        <w:t>（</w:t>
      </w:r>
      <w:r>
        <w:rPr>
          <w:rFonts w:hint="eastAsia" w:ascii="宋体" w:hAnsi="宋体"/>
          <w:b/>
          <w:bCs/>
          <w:szCs w:val="21"/>
          <w:highlight w:val="yellow"/>
          <w:lang w:val="en-US" w:eastAsia="zh-CN"/>
        </w:rPr>
        <w:t>六</w:t>
      </w:r>
      <w:r>
        <w:rPr>
          <w:rFonts w:hint="eastAsia" w:ascii="宋体" w:hAnsi="宋体"/>
          <w:b/>
          <w:bCs/>
          <w:szCs w:val="21"/>
          <w:highlight w:val="yellow"/>
          <w:lang w:eastAsia="zh-CN"/>
        </w:rPr>
        <w:t>）</w:t>
      </w:r>
      <w:r>
        <w:rPr>
          <w:rFonts w:hint="eastAsia" w:ascii="宋体" w:hAnsi="宋体"/>
          <w:b/>
          <w:bCs/>
          <w:szCs w:val="21"/>
          <w:highlight w:val="yellow"/>
          <w:lang w:val="en-US" w:eastAsia="zh-CN"/>
        </w:rPr>
        <w:t>其他：</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1.采购人有权根据工作需要变更委托内容，向中标供应商递交书面的变更说明，中标供应商不同意变更委托内容的，本委托协议终止。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2.在完成委托项目过程中，中标供应商有下列情形之一的，采购人有权单方解除委托协议，所产生的法律责任由中标供应商承担：</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⑴违反职业道德或被国家有关部门处罚的；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⑵工作质量未达到委托要求的；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⑶未按时提交监测数据及结论性报告且无正当理由的；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⑷将委托事项转包或分包给其他单位或个人的；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⑸隐瞒调研对象涉嫌违法违规等行为的；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⑹提供结论性报告内容虚假，或存在导致委托方作出错误决定的；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 xml:space="preserve">⑺泄露采购人提供的有关数据及工作秘密、调研对象提供的资料、完成委托项目过程中知悉的商业秘密以及结论、工作结果的； </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⑻损害采购人、对象或其他单位、个人的合法利益，造成严重后果的。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highlight w:val="yellow"/>
          <w:lang w:val="en-US" w:eastAsia="zh-CN"/>
        </w:rPr>
      </w:pPr>
      <w:r>
        <w:rPr>
          <w:rFonts w:hint="eastAsia" w:ascii="宋体" w:hAnsi="宋体"/>
          <w:szCs w:val="21"/>
          <w:highlight w:val="yellow"/>
          <w:lang w:val="en-US" w:eastAsia="zh-CN"/>
        </w:rPr>
        <w:t>以上行为给采购人造成损失的，采购人有权要求中标供应商赔偿由此造成的损失。</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Cs w:val="21"/>
          <w:lang w:val="en-US" w:eastAsia="zh-CN"/>
        </w:rPr>
      </w:pPr>
      <w:r>
        <w:rPr>
          <w:rFonts w:hint="eastAsia" w:ascii="宋体" w:hAnsi="宋体"/>
          <w:szCs w:val="21"/>
          <w:highlight w:val="yellow"/>
          <w:lang w:val="en-US" w:eastAsia="zh-CN"/>
        </w:rPr>
        <w:t>3.采购人改变委托内容的，有关费用由双方另行协商。</w:t>
      </w:r>
    </w:p>
    <w:p>
      <w:pPr>
        <w:pStyle w:val="3"/>
        <w:rPr>
          <w:rFonts w:hint="default"/>
          <w:lang w:val="en-US"/>
        </w:rPr>
      </w:pP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4"/>
      </w:pPr>
      <w:bookmarkStart w:id="2" w:name="_Toc110410361"/>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4"/>
        <w:spacing w:after="0"/>
      </w:pPr>
      <w:bookmarkStart w:id="3" w:name="_Toc110410362"/>
      <w:r>
        <w:rPr>
          <w:rFonts w:hint="eastAsia"/>
        </w:rPr>
        <w:t>第四章  评标方法和标准</w:t>
      </w:r>
      <w:bookmarkEnd w:id="3"/>
    </w:p>
    <w:p/>
    <w:p>
      <w:pPr>
        <w:pStyle w:val="6"/>
        <w:spacing w:before="0" w:after="0"/>
      </w:pPr>
      <w:bookmarkStart w:id="4" w:name="_Toc44691161"/>
      <w:bookmarkStart w:id="5" w:name="_Toc44691393"/>
      <w:bookmarkStart w:id="6" w:name="_Toc110410363"/>
      <w:bookmarkStart w:id="7" w:name="_Toc44690429"/>
      <w:bookmarkStart w:id="8" w:name="_Toc44690702"/>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6"/>
        <w:spacing w:before="0" w:after="0"/>
      </w:pPr>
      <w:bookmarkStart w:id="9" w:name="_Toc1104103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cs="宋体"/>
                <w:kern w:val="0"/>
                <w:szCs w:val="21"/>
                <w:lang w:val="en-US" w:eastAsia="zh-CN"/>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(1)考察投标单位对本项目服务内容、范围及业务需求的理解。</w:t>
            </w:r>
          </w:p>
          <w:p>
            <w:pPr>
              <w:spacing w:line="360" w:lineRule="exact"/>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szCs w:val="21"/>
              </w:rPr>
              <w:t>(2)考察投标单位对项目实施方案中工作措施、工作方法、工作手段、工作流程和项目管理服务承诺情况</w:t>
            </w:r>
            <w:r>
              <w:rPr>
                <w:rFonts w:hint="eastAsia" w:asciiTheme="minorEastAsia" w:hAnsiTheme="minorEastAsia" w:eastAsiaTheme="minorEastAsia"/>
                <w:color w:val="000000" w:themeColor="text1"/>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ascii="宋体" w:hAnsi="宋体" w:cs="宋体"/>
                <w:szCs w:val="21"/>
              </w:rPr>
            </w:pPr>
            <w:r>
              <w:rPr>
                <w:rFonts w:hint="eastAsia" w:ascii="宋体" w:hAnsi="宋体" w:cs="宋体"/>
                <w:szCs w:val="21"/>
              </w:rPr>
              <w:t>（1）服务方案根据招标文件服务需求编写，方案内容详细、具体；</w:t>
            </w:r>
          </w:p>
          <w:p>
            <w:pPr>
              <w:autoSpaceDE w:val="0"/>
              <w:autoSpaceDN w:val="0"/>
              <w:adjustRightInd w:val="0"/>
              <w:spacing w:line="360" w:lineRule="exact"/>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autoSpaceDE w:val="0"/>
              <w:autoSpaceDN w:val="0"/>
              <w:adjustRightInd w:val="0"/>
              <w:spacing w:line="360" w:lineRule="exact"/>
              <w:rPr>
                <w:rFonts w:ascii="宋体" w:hAnsi="宋体" w:cs="宋体"/>
                <w:szCs w:val="21"/>
              </w:rPr>
            </w:pPr>
            <w:r>
              <w:rPr>
                <w:rFonts w:hint="eastAsia" w:ascii="宋体" w:hAnsi="宋体" w:cs="宋体"/>
                <w:szCs w:val="21"/>
              </w:rPr>
              <w:t>（3）</w:t>
            </w:r>
            <w:r>
              <w:rPr>
                <w:rFonts w:hint="eastAsia" w:cs="宋体" w:asciiTheme="minorEastAsia" w:hAnsiTheme="minorEastAsia" w:eastAsiaTheme="minorEastAsia"/>
                <w:szCs w:val="21"/>
              </w:rPr>
              <w:t>工作手段、工作流程</w:t>
            </w:r>
            <w:r>
              <w:rPr>
                <w:rFonts w:hint="eastAsia" w:ascii="宋体" w:hAnsi="宋体" w:cs="宋体"/>
                <w:szCs w:val="21"/>
              </w:rPr>
              <w:t>能根据各阶段工作计划编写，各阶段工作计划衔接性强；</w:t>
            </w:r>
          </w:p>
          <w:p>
            <w:pPr>
              <w:spacing w:line="360" w:lineRule="exact"/>
              <w:jc w:val="left"/>
              <w:rPr>
                <w:rFonts w:ascii="宋体" w:hAnsi="宋体"/>
                <w:color w:val="000000" w:themeColor="text1"/>
                <w:szCs w:val="21"/>
              </w:rPr>
            </w:pPr>
            <w:r>
              <w:rPr>
                <w:rFonts w:hint="eastAsia" w:ascii="宋体" w:hAnsi="宋体" w:cs="宋体"/>
                <w:szCs w:val="21"/>
              </w:rPr>
              <w:t>（4）根据项目需求提供切实可行的</w:t>
            </w:r>
            <w:r>
              <w:rPr>
                <w:rFonts w:hint="eastAsia" w:cs="宋体" w:asciiTheme="minorEastAsia" w:hAnsiTheme="minorEastAsia" w:eastAsiaTheme="minorEastAsia"/>
                <w:szCs w:val="21"/>
              </w:rPr>
              <w:t>项目管理服务承诺</w:t>
            </w:r>
            <w:r>
              <w:rPr>
                <w:rFonts w:hint="eastAsia" w:ascii="宋体" w:hAnsi="宋体"/>
                <w:color w:val="000000" w:themeColor="text1"/>
                <w:szCs w:val="21"/>
              </w:rPr>
              <w:t>。</w:t>
            </w:r>
          </w:p>
          <w:p>
            <w:pPr>
              <w:autoSpaceDE w:val="0"/>
              <w:autoSpaceDN w:val="0"/>
              <w:adjustRightInd w:val="0"/>
              <w:spacing w:line="360" w:lineRule="exact"/>
              <w:rPr>
                <w:rFonts w:ascii="宋体" w:hAnsi="宋体"/>
                <w:kern w:val="0"/>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15</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10</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5</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szCs w:val="21"/>
                <w:lang w:val="en-US" w:eastAsia="zh-CN"/>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分析本项目工作的重点、难点，并根据分析的结果制定相应的工作规划和应对措施，制定的规划、措施能够对后续开展本项目工作进行有针对性的指导。</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（1）对项目重点难点分析全面、清晰到位；</w:t>
            </w:r>
          </w:p>
          <w:p>
            <w:pPr>
              <w:widowControl/>
              <w:snapToGrid w:val="0"/>
              <w:spacing w:line="360" w:lineRule="exact"/>
              <w:jc w:val="left"/>
              <w:rPr>
                <w:rFonts w:ascii="宋体" w:hAnsi="宋体"/>
                <w:kern w:val="0"/>
                <w:szCs w:val="21"/>
              </w:rPr>
            </w:pPr>
            <w:r>
              <w:rPr>
                <w:rFonts w:hint="eastAsia" w:ascii="宋体" w:hAnsi="宋体"/>
                <w:kern w:val="0"/>
                <w:szCs w:val="21"/>
              </w:rPr>
              <w:t>（2）能针对项目重点难点逐项提出应对措施及相关的合理化建议；</w:t>
            </w:r>
          </w:p>
          <w:p>
            <w:pPr>
              <w:widowControl/>
              <w:snapToGrid w:val="0"/>
              <w:spacing w:line="360" w:lineRule="exact"/>
              <w:jc w:val="left"/>
              <w:rPr>
                <w:rFonts w:ascii="宋体" w:hAnsi="宋体"/>
                <w:kern w:val="0"/>
                <w:szCs w:val="21"/>
              </w:rPr>
            </w:pPr>
            <w:r>
              <w:rPr>
                <w:rFonts w:hint="eastAsia" w:ascii="宋体" w:hAnsi="宋体"/>
                <w:kern w:val="0"/>
                <w:szCs w:val="21"/>
              </w:rPr>
              <w:t>（3）应对措施针对性强、可操作性强；</w:t>
            </w:r>
          </w:p>
          <w:p>
            <w:pPr>
              <w:widowControl/>
              <w:snapToGrid w:val="0"/>
              <w:spacing w:line="360" w:lineRule="exact"/>
              <w:jc w:val="left"/>
              <w:rPr>
                <w:rFonts w:ascii="宋体" w:hAnsi="宋体"/>
                <w:kern w:val="0"/>
                <w:szCs w:val="21"/>
              </w:rPr>
            </w:pPr>
            <w:r>
              <w:rPr>
                <w:rFonts w:hint="eastAsia" w:ascii="宋体" w:hAnsi="宋体"/>
                <w:kern w:val="0"/>
                <w:szCs w:val="21"/>
              </w:rPr>
              <w:t>（4）相关的合理化建议可实施性强。</w:t>
            </w:r>
          </w:p>
          <w:p>
            <w:pPr>
              <w:autoSpaceDE w:val="0"/>
              <w:autoSpaceDN w:val="0"/>
              <w:adjustRightInd w:val="0"/>
              <w:spacing w:line="360" w:lineRule="exact"/>
              <w:rPr>
                <w:rFonts w:ascii="宋体" w:hAnsi="宋体" w:cs="宋体"/>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15</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10</w:t>
            </w:r>
            <w:r>
              <w:rPr>
                <w:rFonts w:hint="eastAsia" w:asciiTheme="minorEastAsia" w:hAnsiTheme="minorEastAsia" w:eastAsiaTheme="minorEastAsia"/>
              </w:rPr>
              <w:t>分，满足其中二项要求的得5分，其他情况不得分。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技术保障措施</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hint="eastAsia" w:ascii="宋体" w:hAnsi="宋体" w:eastAsia="宋体"/>
                <w:kern w:val="0"/>
                <w:szCs w:val="21"/>
                <w:lang w:eastAsia="zh-CN"/>
              </w:rPr>
            </w:pPr>
            <w:r>
              <w:rPr>
                <w:rFonts w:hint="eastAsia" w:ascii="宋体" w:hAnsi="宋体"/>
                <w:kern w:val="0"/>
                <w:szCs w:val="21"/>
              </w:rPr>
              <w:t>投标人在投标文件中</w:t>
            </w:r>
            <w:r>
              <w:rPr>
                <w:rFonts w:hint="eastAsia" w:ascii="宋体" w:hAnsi="宋体"/>
                <w:kern w:val="0"/>
                <w:szCs w:val="21"/>
                <w:lang w:val="en-US" w:eastAsia="zh-CN"/>
              </w:rPr>
              <w:t>提供</w:t>
            </w:r>
            <w:r>
              <w:rPr>
                <w:rFonts w:hint="eastAsia" w:ascii="宋体" w:hAnsi="宋体"/>
                <w:kern w:val="0"/>
                <w:szCs w:val="21"/>
              </w:rPr>
              <w:t>技术保障措施内容，评审委员会根据响应情况进行评分</w:t>
            </w:r>
            <w:r>
              <w:rPr>
                <w:rFonts w:hint="eastAsia" w:ascii="宋体" w:hAnsi="宋体"/>
                <w:kern w:val="0"/>
                <w:szCs w:val="21"/>
                <w:lang w:eastAsia="zh-CN"/>
              </w:rPr>
              <w:t>。</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（1）技术保障措施内容全面；</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（2）技术保障措施内容具体，表达清晰、完整、严谨；</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（3）技术保障措施内容针对性强；</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（4）技术保障措施内容先进，科学合理；</w:t>
            </w:r>
          </w:p>
          <w:p>
            <w:pPr>
              <w:autoSpaceDE w:val="0"/>
              <w:autoSpaceDN w:val="0"/>
              <w:adjustRightInd w:val="0"/>
              <w:spacing w:line="360" w:lineRule="exact"/>
              <w:jc w:val="left"/>
              <w:rPr>
                <w:rFonts w:hint="eastAsia" w:ascii="宋体" w:hAnsi="宋体" w:eastAsia="宋体"/>
                <w:kern w:val="0"/>
                <w:szCs w:val="21"/>
                <w:lang w:eastAsia="zh-CN"/>
              </w:rPr>
            </w:pPr>
            <w:r>
              <w:rPr>
                <w:rFonts w:hint="eastAsia" w:ascii="宋体" w:hAnsi="宋体"/>
                <w:kern w:val="0"/>
                <w:szCs w:val="21"/>
              </w:rPr>
              <w:t>（5）技术保障措施内容可操作性强</w:t>
            </w:r>
            <w:r>
              <w:rPr>
                <w:rFonts w:hint="eastAsia" w:ascii="宋体" w:hAnsi="宋体"/>
                <w:kern w:val="0"/>
                <w:szCs w:val="21"/>
                <w:lang w:eastAsia="zh-CN"/>
              </w:rPr>
              <w:t>。</w:t>
            </w:r>
          </w:p>
          <w:p>
            <w:pPr>
              <w:widowControl/>
              <w:snapToGrid w:val="0"/>
              <w:spacing w:line="360" w:lineRule="exact"/>
              <w:jc w:val="left"/>
              <w:rPr>
                <w:rFonts w:ascii="宋体" w:hAnsi="宋体"/>
                <w:kern w:val="0"/>
                <w:szCs w:val="21"/>
              </w:rPr>
            </w:pPr>
            <w:r>
              <w:rPr>
                <w:rFonts w:hint="eastAsia" w:ascii="宋体" w:hAnsi="宋体"/>
                <w:kern w:val="0"/>
                <w:szCs w:val="21"/>
              </w:rPr>
              <w:t>满足以上五项要求得15分，满足以上四项要求得12分，满足以上三项要求得9分，满足以上两项要求6分，满足以上一项要求得3分，其它情况不得分。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4</w:t>
            </w:r>
          </w:p>
        </w:tc>
        <w:tc>
          <w:tcPr>
            <w:tcW w:w="1143" w:type="dxa"/>
            <w:vAlign w:val="center"/>
          </w:tcPr>
          <w:p>
            <w:pPr>
              <w:widowControl/>
              <w:spacing w:line="360" w:lineRule="exact"/>
              <w:jc w:val="center"/>
              <w:rPr>
                <w:rFonts w:hint="eastAsia" w:ascii="宋体" w:hAnsi="宋体"/>
                <w:kern w:val="0"/>
                <w:szCs w:val="21"/>
              </w:rPr>
            </w:pPr>
            <w:r>
              <w:rPr>
                <w:rFonts w:hint="eastAsia" w:ascii="宋体" w:hAnsi="宋体"/>
                <w:kern w:val="0"/>
                <w:szCs w:val="21"/>
                <w:lang w:eastAsia="zh-CN"/>
              </w:rPr>
              <w:t>服务人员方案</w:t>
            </w:r>
          </w:p>
        </w:tc>
        <w:tc>
          <w:tcPr>
            <w:tcW w:w="709" w:type="dxa"/>
            <w:vAlign w:val="center"/>
          </w:tcPr>
          <w:p>
            <w:pPr>
              <w:widowControl/>
              <w:spacing w:line="360" w:lineRule="exact"/>
              <w:jc w:val="center"/>
              <w:rPr>
                <w:rFonts w:hint="default" w:ascii="宋体" w:hAnsi="宋体"/>
                <w:kern w:val="0"/>
                <w:szCs w:val="21"/>
                <w:lang w:val="en-US" w:eastAsia="zh-CN"/>
              </w:rPr>
            </w:pPr>
            <w:r>
              <w:rPr>
                <w:rFonts w:hint="eastAsia" w:ascii="宋体" w:hAnsi="宋体"/>
                <w:kern w:val="0"/>
                <w:szCs w:val="21"/>
                <w:lang w:val="en-US" w:eastAsia="zh-CN"/>
              </w:rPr>
              <w:t>10</w:t>
            </w:r>
          </w:p>
        </w:tc>
        <w:tc>
          <w:tcPr>
            <w:tcW w:w="5953" w:type="dxa"/>
            <w:vAlign w:val="center"/>
          </w:tcPr>
          <w:p>
            <w:pPr>
              <w:widowControl/>
              <w:snapToGrid w:val="0"/>
              <w:spacing w:line="360" w:lineRule="exact"/>
              <w:jc w:val="left"/>
              <w:rPr>
                <w:rFonts w:hint="eastAsia"/>
              </w:rPr>
            </w:pPr>
            <w:r>
              <w:rPr>
                <w:rFonts w:hint="eastAsia"/>
              </w:rPr>
              <w:t xml:space="preserve">（一）评分内容： </w:t>
            </w:r>
          </w:p>
          <w:p>
            <w:pPr>
              <w:widowControl/>
              <w:snapToGrid w:val="0"/>
              <w:spacing w:line="360" w:lineRule="exact"/>
              <w:jc w:val="left"/>
              <w:rPr>
                <w:rFonts w:hint="eastAsia" w:eastAsia="宋体"/>
                <w:lang w:eastAsia="zh-CN"/>
              </w:rPr>
            </w:pPr>
            <w:r>
              <w:rPr>
                <w:rFonts w:hint="eastAsia"/>
              </w:rPr>
              <w:t>投标人在投标文件中提供服务人员方案，评审委员会根据响应情况进行评分</w:t>
            </w:r>
            <w:r>
              <w:rPr>
                <w:rFonts w:hint="eastAsia"/>
                <w:lang w:val="en-US" w:eastAsia="zh-CN"/>
              </w:rPr>
              <w:t>。</w:t>
            </w:r>
          </w:p>
          <w:p>
            <w:pPr>
              <w:widowControl/>
              <w:snapToGrid w:val="0"/>
              <w:spacing w:line="360" w:lineRule="exact"/>
              <w:jc w:val="left"/>
              <w:rPr>
                <w:rFonts w:hint="eastAsia"/>
              </w:rPr>
            </w:pPr>
          </w:p>
          <w:p>
            <w:pPr>
              <w:widowControl/>
              <w:snapToGrid w:val="0"/>
              <w:spacing w:line="360" w:lineRule="exact"/>
              <w:jc w:val="left"/>
              <w:rPr>
                <w:rFonts w:hint="eastAsia"/>
              </w:rPr>
            </w:pPr>
            <w:r>
              <w:rPr>
                <w:rFonts w:hint="eastAsia"/>
              </w:rPr>
              <w:t>（二）评分标准：</w:t>
            </w:r>
          </w:p>
          <w:p>
            <w:pPr>
              <w:widowControl/>
              <w:snapToGrid w:val="0"/>
              <w:spacing w:line="360" w:lineRule="exact"/>
              <w:jc w:val="left"/>
              <w:rPr>
                <w:rFonts w:hint="eastAsia" w:ascii="宋体" w:hAnsi="宋体" w:eastAsia="宋体" w:cs="宋体"/>
              </w:rPr>
            </w:pPr>
            <w:r>
              <w:rPr>
                <w:rFonts w:hint="eastAsia"/>
              </w:rPr>
              <w:t>（</w:t>
            </w:r>
            <w:r>
              <w:rPr>
                <w:rFonts w:hint="eastAsia" w:ascii="宋体" w:hAnsi="宋体" w:eastAsia="宋体" w:cs="宋体"/>
              </w:rPr>
              <w:t>1）服务人员方案内容全面；</w:t>
            </w:r>
          </w:p>
          <w:p>
            <w:pPr>
              <w:widowControl/>
              <w:snapToGrid w:val="0"/>
              <w:spacing w:line="360" w:lineRule="exact"/>
              <w:jc w:val="left"/>
              <w:rPr>
                <w:rFonts w:hint="eastAsia" w:ascii="宋体" w:hAnsi="宋体" w:eastAsia="宋体" w:cs="宋体"/>
              </w:rPr>
            </w:pPr>
            <w:r>
              <w:rPr>
                <w:rFonts w:hint="eastAsia" w:ascii="宋体" w:hAnsi="宋体" w:eastAsia="宋体" w:cs="宋体"/>
              </w:rPr>
              <w:t>（2）服务人员方案内容具体，表达清晰、完整、严谨；</w:t>
            </w:r>
          </w:p>
          <w:p>
            <w:pPr>
              <w:widowControl/>
              <w:snapToGrid w:val="0"/>
              <w:spacing w:line="360" w:lineRule="exact"/>
              <w:jc w:val="left"/>
              <w:rPr>
                <w:rFonts w:hint="eastAsia" w:ascii="宋体" w:hAnsi="宋体" w:eastAsia="宋体" w:cs="宋体"/>
              </w:rPr>
            </w:pPr>
            <w:r>
              <w:rPr>
                <w:rFonts w:hint="eastAsia" w:ascii="宋体" w:hAnsi="宋体" w:eastAsia="宋体" w:cs="宋体"/>
              </w:rPr>
              <w:t>（3）服务人员方案内容针对性强；</w:t>
            </w:r>
          </w:p>
          <w:p>
            <w:pPr>
              <w:widowControl/>
              <w:snapToGrid w:val="0"/>
              <w:spacing w:line="360" w:lineRule="exact"/>
              <w:jc w:val="left"/>
              <w:rPr>
                <w:rFonts w:hint="eastAsia" w:ascii="宋体" w:hAnsi="宋体" w:eastAsia="宋体" w:cs="宋体"/>
              </w:rPr>
            </w:pPr>
            <w:r>
              <w:rPr>
                <w:rFonts w:hint="eastAsia" w:ascii="宋体" w:hAnsi="宋体" w:eastAsia="宋体" w:cs="宋体"/>
              </w:rPr>
              <w:t>（4）服务人员方案内容先进，科学合理；</w:t>
            </w:r>
          </w:p>
          <w:p>
            <w:pPr>
              <w:widowControl/>
              <w:snapToGrid w:val="0"/>
              <w:spacing w:line="360" w:lineRule="exact"/>
              <w:jc w:val="left"/>
              <w:rPr>
                <w:rFonts w:hint="eastAsia" w:ascii="宋体" w:hAnsi="宋体" w:eastAsia="宋体" w:cs="宋体"/>
              </w:rPr>
            </w:pPr>
            <w:r>
              <w:rPr>
                <w:rFonts w:hint="eastAsia" w:ascii="宋体" w:hAnsi="宋体" w:eastAsia="宋体" w:cs="宋体"/>
              </w:rPr>
              <w:t xml:space="preserve">（5）服务人员方案内容可操作性强； </w:t>
            </w:r>
          </w:p>
          <w:p>
            <w:pPr>
              <w:widowControl/>
              <w:snapToGrid w:val="0"/>
              <w:spacing w:line="360" w:lineRule="exact"/>
              <w:jc w:val="left"/>
              <w:rPr>
                <w:rFonts w:hint="eastAsia"/>
              </w:rPr>
            </w:pPr>
            <w:r>
              <w:rPr>
                <w:rFonts w:hint="eastAsia" w:ascii="宋体" w:hAnsi="宋体" w:eastAsia="宋体" w:cs="宋体"/>
              </w:rPr>
              <w:t>满足以上五项要求得1</w:t>
            </w:r>
            <w:r>
              <w:rPr>
                <w:rFonts w:hint="eastAsia" w:ascii="宋体" w:hAnsi="宋体" w:eastAsia="宋体" w:cs="宋体"/>
                <w:lang w:val="en-US" w:eastAsia="zh-CN"/>
              </w:rPr>
              <w:t>0</w:t>
            </w:r>
            <w:r>
              <w:rPr>
                <w:rFonts w:hint="eastAsia" w:ascii="宋体" w:hAnsi="宋体" w:eastAsia="宋体" w:cs="宋体"/>
              </w:rPr>
              <w:t>分，满足以上四项要求得</w:t>
            </w:r>
            <w:r>
              <w:rPr>
                <w:rFonts w:hint="eastAsia" w:ascii="宋体" w:hAnsi="宋体" w:eastAsia="宋体" w:cs="宋体"/>
                <w:lang w:val="en-US" w:eastAsia="zh-CN"/>
              </w:rPr>
              <w:t>8</w:t>
            </w:r>
            <w:r>
              <w:rPr>
                <w:rFonts w:hint="eastAsia" w:ascii="宋体" w:hAnsi="宋体" w:eastAsia="宋体" w:cs="宋体"/>
              </w:rPr>
              <w:t>分，满足以上三项要求得</w:t>
            </w:r>
            <w:r>
              <w:rPr>
                <w:rFonts w:hint="eastAsia" w:ascii="宋体" w:hAnsi="宋体" w:eastAsia="宋体" w:cs="宋体"/>
                <w:lang w:val="en-US" w:eastAsia="zh-CN"/>
              </w:rPr>
              <w:t>6</w:t>
            </w:r>
            <w:r>
              <w:rPr>
                <w:rFonts w:hint="eastAsia" w:ascii="宋体" w:hAnsi="宋体" w:eastAsia="宋体" w:cs="宋体"/>
              </w:rPr>
              <w:t>分，满足以上两项要求</w:t>
            </w:r>
            <w:r>
              <w:rPr>
                <w:rFonts w:hint="eastAsia" w:ascii="宋体" w:hAnsi="宋体" w:eastAsia="宋体" w:cs="宋体"/>
                <w:lang w:val="en-US" w:eastAsia="zh-CN"/>
              </w:rPr>
              <w:t>4</w:t>
            </w:r>
            <w:r>
              <w:rPr>
                <w:rFonts w:hint="eastAsia" w:ascii="宋体" w:hAnsi="宋体" w:eastAsia="宋体" w:cs="宋体"/>
              </w:rPr>
              <w:t>分，满足以上一项要求得</w:t>
            </w:r>
            <w:r>
              <w:rPr>
                <w:rFonts w:hint="eastAsia" w:ascii="宋体" w:hAnsi="宋体" w:eastAsia="宋体" w:cs="宋体"/>
                <w:lang w:val="en-US" w:eastAsia="zh-CN"/>
              </w:rPr>
              <w:t>2</w:t>
            </w:r>
            <w:r>
              <w:rPr>
                <w:rFonts w:hint="eastAsia" w:ascii="宋体" w:hAnsi="宋体" w:eastAsia="宋体" w:cs="宋体"/>
              </w:rPr>
              <w:t>分，其它情况不得分。</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hint="eastAsia" w:ascii="宋体" w:hAnsi="宋体" w:eastAsia="宋体" w:cs="宋体"/>
                <w:kern w:val="0"/>
                <w:szCs w:val="21"/>
                <w:lang w:eastAsia="zh-CN"/>
              </w:rPr>
            </w:pPr>
            <w:r>
              <w:rPr>
                <w:rFonts w:hint="eastAsia" w:ascii="宋体" w:hAnsi="宋体"/>
                <w:kern w:val="0"/>
                <w:szCs w:val="21"/>
                <w:lang w:val="en-US" w:eastAsia="zh-CN"/>
              </w:rPr>
              <w:t>5</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宋体" w:hAnsi="宋体" w:eastAsia="宋体"/>
                <w:szCs w:val="21"/>
                <w:lang w:val="en-US" w:eastAsia="zh-CN"/>
              </w:rPr>
            </w:pPr>
            <w:r>
              <w:rPr>
                <w:rFonts w:hint="eastAsia" w:ascii="宋体" w:hAnsi="宋体"/>
                <w:szCs w:val="21"/>
              </w:rPr>
              <w:t>考察投标人</w:t>
            </w:r>
            <w:r>
              <w:rPr>
                <w:rFonts w:hint="eastAsia" w:ascii="宋体" w:hAnsi="宋体"/>
                <w:szCs w:val="21"/>
                <w:lang w:val="en-US" w:eastAsia="zh-CN"/>
              </w:rPr>
              <w:t>提供的</w:t>
            </w:r>
            <w:r>
              <w:rPr>
                <w:rFonts w:hint="eastAsia" w:ascii="宋体" w:hAnsi="宋体"/>
                <w:szCs w:val="21"/>
              </w:rPr>
              <w:t>售后服务保障</w:t>
            </w:r>
            <w:r>
              <w:rPr>
                <w:rFonts w:hint="eastAsia" w:ascii="宋体" w:hAnsi="宋体"/>
                <w:szCs w:val="21"/>
                <w:lang w:val="en-US" w:eastAsia="zh-CN"/>
              </w:rPr>
              <w:t>内容</w:t>
            </w:r>
            <w:r>
              <w:rPr>
                <w:rFonts w:hint="eastAsia" w:ascii="宋体" w:hAnsi="宋体"/>
                <w:szCs w:val="21"/>
              </w:rPr>
              <w:t>，是否符合本项目要求</w:t>
            </w:r>
            <w:r>
              <w:rPr>
                <w:rFonts w:hint="eastAsia" w:ascii="宋体" w:hAnsi="宋体"/>
                <w:szCs w:val="21"/>
                <w:lang w:eastAsia="zh-CN"/>
              </w:rPr>
              <w:t>，</w:t>
            </w:r>
            <w:r>
              <w:rPr>
                <w:rFonts w:hint="eastAsia" w:ascii="宋体" w:hAnsi="宋体"/>
                <w:szCs w:val="21"/>
              </w:rPr>
              <w:t>根据投标文件响应情况进行</w:t>
            </w:r>
            <w:r>
              <w:rPr>
                <w:rFonts w:hint="eastAsia" w:ascii="宋体" w:hAnsi="宋体"/>
                <w:szCs w:val="21"/>
                <w:lang w:val="en-US" w:eastAsia="zh-CN"/>
              </w:rPr>
              <w:t>评分。</w:t>
            </w:r>
          </w:p>
          <w:p>
            <w:pPr>
              <w:autoSpaceDE w:val="0"/>
              <w:autoSpaceDN w:val="0"/>
              <w:adjustRightInd w:val="0"/>
              <w:spacing w:line="360" w:lineRule="exact"/>
              <w:rPr>
                <w:rFonts w:ascii="宋体" w:hAnsi="宋体" w:cs="宋体"/>
                <w:szCs w:val="21"/>
              </w:rPr>
            </w:pP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w:t>
            </w:r>
            <w:r>
              <w:rPr>
                <w:rFonts w:hint="eastAsia" w:ascii="宋体" w:hAnsi="宋体"/>
                <w:kern w:val="0"/>
                <w:szCs w:val="21"/>
                <w:lang w:val="en-US" w:eastAsia="zh-CN"/>
              </w:rPr>
              <w:t>标准</w:t>
            </w:r>
            <w:r>
              <w:rPr>
                <w:rFonts w:hint="eastAsia" w:ascii="宋体" w:hAnsi="宋体"/>
                <w:kern w:val="0"/>
                <w:szCs w:val="21"/>
              </w:rPr>
              <w:t>：</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（1）售后服务保障内容全面；</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（2）售后服务保障内容具体，表达清晰、完整、严谨；</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（3）售后服务保障内容针对性强；</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（4）售后服务保障内容先进，科学合理；</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 xml:space="preserve">（5）售后服务保障内容可操作性强； </w:t>
            </w:r>
          </w:p>
          <w:p>
            <w:pPr>
              <w:autoSpaceDE w:val="0"/>
              <w:autoSpaceDN w:val="0"/>
              <w:adjustRightInd w:val="0"/>
              <w:spacing w:line="360" w:lineRule="exact"/>
              <w:rPr>
                <w:rFonts w:ascii="宋体" w:hAnsi="宋体" w:cs="宋体"/>
                <w:szCs w:val="21"/>
              </w:rPr>
            </w:pPr>
            <w:r>
              <w:rPr>
                <w:rFonts w:hint="eastAsia" w:ascii="宋体" w:hAnsi="宋体" w:cs="宋体"/>
                <w:szCs w:val="21"/>
              </w:rPr>
              <w:t>满足以上五项要求得1</w:t>
            </w:r>
            <w:r>
              <w:rPr>
                <w:rFonts w:hint="eastAsia" w:ascii="宋体" w:hAnsi="宋体" w:cs="宋体"/>
                <w:szCs w:val="21"/>
                <w:lang w:val="en-US" w:eastAsia="zh-CN"/>
              </w:rPr>
              <w:t>0</w:t>
            </w:r>
            <w:r>
              <w:rPr>
                <w:rFonts w:hint="eastAsia" w:ascii="宋体" w:hAnsi="宋体" w:cs="宋体"/>
                <w:szCs w:val="21"/>
              </w:rPr>
              <w:t>分，满足以上四项要求得</w:t>
            </w:r>
            <w:r>
              <w:rPr>
                <w:rFonts w:hint="eastAsia" w:ascii="宋体" w:hAnsi="宋体" w:cs="宋体"/>
                <w:szCs w:val="21"/>
                <w:lang w:val="en-US" w:eastAsia="zh-CN"/>
              </w:rPr>
              <w:t>8</w:t>
            </w:r>
            <w:r>
              <w:rPr>
                <w:rFonts w:hint="eastAsia" w:ascii="宋体" w:hAnsi="宋体" w:cs="宋体"/>
                <w:szCs w:val="21"/>
              </w:rPr>
              <w:t>分，满足以上三项要求得</w:t>
            </w:r>
            <w:r>
              <w:rPr>
                <w:rFonts w:hint="eastAsia" w:ascii="宋体" w:hAnsi="宋体" w:cs="宋体"/>
                <w:szCs w:val="21"/>
                <w:lang w:val="en-US" w:eastAsia="zh-CN"/>
              </w:rPr>
              <w:t>6</w:t>
            </w:r>
            <w:r>
              <w:rPr>
                <w:rFonts w:hint="eastAsia" w:ascii="宋体" w:hAnsi="宋体" w:cs="宋体"/>
                <w:szCs w:val="21"/>
              </w:rPr>
              <w:t>分，满足以上两项要求</w:t>
            </w:r>
            <w:r>
              <w:rPr>
                <w:rFonts w:hint="eastAsia" w:ascii="宋体" w:hAnsi="宋体" w:cs="宋体"/>
                <w:szCs w:val="21"/>
                <w:lang w:val="en-US" w:eastAsia="zh-CN"/>
              </w:rPr>
              <w:t>4</w:t>
            </w:r>
            <w:r>
              <w:rPr>
                <w:rFonts w:hint="eastAsia" w:ascii="宋体" w:hAnsi="宋体" w:cs="宋体"/>
                <w:szCs w:val="21"/>
              </w:rPr>
              <w:t>分，满足以上一项要求得</w:t>
            </w:r>
            <w:r>
              <w:rPr>
                <w:rFonts w:hint="eastAsia" w:ascii="宋体" w:hAnsi="宋体" w:cs="宋体"/>
                <w:szCs w:val="21"/>
                <w:lang w:val="en-US" w:eastAsia="zh-CN"/>
              </w:rPr>
              <w:t>2</w:t>
            </w:r>
            <w:r>
              <w:rPr>
                <w:rFonts w:hint="eastAsia" w:ascii="宋体" w:hAnsi="宋体" w:cs="宋体"/>
                <w:szCs w:val="21"/>
              </w:rPr>
              <w:t>分，其它情况不得分。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hint="eastAsia" w:ascii="宋体" w:hAnsi="宋体" w:eastAsia="宋体" w:cs="宋体"/>
                <w:kern w:val="0"/>
                <w:szCs w:val="21"/>
                <w:lang w:eastAsia="zh-CN"/>
              </w:rPr>
            </w:pPr>
            <w:r>
              <w:rPr>
                <w:rFonts w:hint="eastAsia" w:ascii="宋体" w:hAnsi="宋体"/>
                <w:kern w:val="0"/>
                <w:szCs w:val="21"/>
                <w:lang w:val="en-US" w:eastAsia="zh-CN"/>
              </w:rPr>
              <w:t>6</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投标人提供项目违约承诺</w:t>
            </w:r>
            <w:r>
              <w:rPr>
                <w:rFonts w:ascii="宋体" w:hAnsi="宋体" w:cs="宋体"/>
                <w:szCs w:val="21"/>
              </w:rPr>
              <w:t>，</w:t>
            </w:r>
            <w:r>
              <w:rPr>
                <w:rFonts w:hint="eastAsia" w:ascii="宋体" w:hAnsi="宋体" w:cs="宋体"/>
                <w:szCs w:val="21"/>
              </w:rPr>
              <w:t>满足</w:t>
            </w:r>
            <w:r>
              <w:rPr>
                <w:rFonts w:ascii="宋体" w:hAnsi="宋体" w:cs="宋体"/>
                <w:szCs w:val="21"/>
              </w:rPr>
              <w:t>以下</w:t>
            </w:r>
            <w:r>
              <w:rPr>
                <w:rFonts w:hint="eastAsia" w:ascii="宋体" w:hAnsi="宋体" w:cs="宋体"/>
                <w:szCs w:val="21"/>
              </w:rPr>
              <w:t>全部要求</w:t>
            </w:r>
            <w:r>
              <w:rPr>
                <w:rFonts w:ascii="宋体" w:hAnsi="宋体"/>
                <w:szCs w:val="21"/>
              </w:rPr>
              <w:t>的得</w:t>
            </w:r>
            <w:r>
              <w:rPr>
                <w:rFonts w:hint="eastAsia" w:ascii="宋体" w:hAnsi="宋体"/>
                <w:szCs w:val="21"/>
                <w:lang w:val="en-US" w:eastAsia="zh-CN"/>
              </w:rPr>
              <w:t>5</w:t>
            </w:r>
            <w:r>
              <w:rPr>
                <w:rFonts w:ascii="宋体" w:hAnsi="宋体"/>
                <w:szCs w:val="21"/>
              </w:rPr>
              <w:t>分，否则不得分。</w:t>
            </w:r>
          </w:p>
          <w:p>
            <w:pPr>
              <w:autoSpaceDE w:val="0"/>
              <w:autoSpaceDN w:val="0"/>
              <w:adjustRightInd w:val="0"/>
              <w:spacing w:line="360" w:lineRule="exact"/>
              <w:rPr>
                <w:rFonts w:ascii="宋体" w:hAnsi="宋体"/>
                <w:szCs w:val="21"/>
              </w:rPr>
            </w:pPr>
            <w:r>
              <w:rPr>
                <w:rFonts w:ascii="宋体" w:hAnsi="宋体"/>
                <w:szCs w:val="21"/>
              </w:rPr>
              <w:t>（1）</w:t>
            </w:r>
            <w:r>
              <w:rPr>
                <w:rFonts w:hint="eastAsia" w:ascii="宋体" w:hAnsi="宋体" w:cs="宋体"/>
                <w:szCs w:val="21"/>
              </w:rPr>
              <w:t>人员严格按照招标文件及投标承诺配置</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cs="宋体"/>
                <w:szCs w:val="21"/>
              </w:rPr>
              <w:t>服务质量达到招标文件要求</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cs="宋体"/>
                <w:szCs w:val="21"/>
              </w:rPr>
              <w:t>对未能达到的管理要求承担管理责任</w:t>
            </w:r>
            <w:r>
              <w:rPr>
                <w:rFonts w:ascii="宋体" w:hAnsi="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szCs w:val="21"/>
              </w:rPr>
              <w:t>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1</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hint="default" w:ascii="宋体" w:hAnsi="宋体" w:eastAsia="宋体"/>
                <w:snapToGrid w:val="0"/>
                <w:kern w:val="0"/>
                <w:szCs w:val="21"/>
                <w:lang w:val="en-US" w:eastAsia="zh-CN"/>
              </w:rPr>
            </w:pPr>
            <w:r>
              <w:rPr>
                <w:rFonts w:hint="eastAsia" w:ascii="宋体" w:hAnsi="宋体"/>
                <w:snapToGrid w:val="0"/>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2018年1月1日至本项目投标截止日（以合同签订日期为准），投标人具有</w:t>
            </w:r>
            <w:r>
              <w:rPr>
                <w:rFonts w:hint="eastAsia" w:ascii="宋体" w:hAnsi="宋体" w:cs="宋体"/>
                <w:bCs/>
                <w:szCs w:val="21"/>
              </w:rPr>
              <w:t>同类项目业绩的</w:t>
            </w:r>
            <w:r>
              <w:rPr>
                <w:rFonts w:hint="eastAsia" w:ascii="宋体" w:hAnsi="宋体" w:cs="宋体"/>
                <w:szCs w:val="21"/>
              </w:rPr>
              <w:t>，每提供1个项目得</w:t>
            </w:r>
            <w:r>
              <w:rPr>
                <w:rFonts w:hint="eastAsia" w:ascii="宋体" w:hAnsi="宋体" w:cs="宋体"/>
                <w:szCs w:val="21"/>
                <w:lang w:val="en-US" w:eastAsia="zh-CN"/>
              </w:rPr>
              <w:t>5</w:t>
            </w:r>
            <w:r>
              <w:rPr>
                <w:rFonts w:hint="eastAsia" w:ascii="宋体" w:hAnsi="宋体" w:cs="宋体"/>
                <w:szCs w:val="21"/>
              </w:rPr>
              <w:t>分,最高得</w:t>
            </w:r>
            <w:r>
              <w:rPr>
                <w:rFonts w:hint="eastAsia" w:ascii="宋体" w:hAnsi="宋体" w:cs="宋体"/>
                <w:szCs w:val="21"/>
                <w:lang w:val="en-US" w:eastAsia="zh-CN"/>
              </w:rPr>
              <w:t>10</w:t>
            </w:r>
            <w:r>
              <w:rPr>
                <w:rFonts w:hint="eastAsia" w:ascii="宋体" w:hAnsi="宋体" w:cs="宋体"/>
                <w:szCs w:val="21"/>
              </w:rPr>
              <w:t>分。同一项目续签合同的不可重复得分。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asciiTheme="minorEastAsia" w:hAnsiTheme="minorEastAsia" w:eastAsiaTheme="minorEastAsia"/>
                <w:bCs/>
                <w:szCs w:val="21"/>
              </w:rPr>
              <w:t>且提供的材料各项信息不得有任何遮挡，合同需体现签订日期</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szCs w:val="21"/>
                <w:lang w:val="en-US" w:eastAsia="zh-CN"/>
              </w:rPr>
              <w:t>3</w:t>
            </w:r>
            <w:r>
              <w:rPr>
                <w:rFonts w:hint="eastAsia" w:ascii="宋体" w:hAnsi="宋体"/>
                <w:szCs w:val="21"/>
              </w:rPr>
              <w:t>.</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6"/>
        <w:spacing w:before="0" w:after="0"/>
        <w:jc w:val="left"/>
        <w:rPr>
          <w:rFonts w:asciiTheme="minorEastAsia" w:hAnsiTheme="minorEastAsia"/>
          <w:bCs w:val="0"/>
          <w:sz w:val="21"/>
          <w:szCs w:val="21"/>
        </w:rPr>
      </w:pPr>
      <w:bookmarkStart w:id="10" w:name="_Toc44690703"/>
      <w:bookmarkStart w:id="11" w:name="_Toc110410365"/>
      <w:bookmarkStart w:id="12" w:name="_Toc44691394"/>
      <w:bookmarkStart w:id="13" w:name="_Toc44690430"/>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5"/>
        <w:spacing w:before="0" w:after="0"/>
      </w:pPr>
      <w:bookmarkStart w:id="15" w:name="_Toc1104103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5"/>
        <w:spacing w:before="0" w:after="0"/>
        <w:rPr>
          <w:rFonts w:asciiTheme="minorEastAsia" w:hAnsiTheme="minorEastAsia" w:eastAsiaTheme="minorEastAsia"/>
        </w:rPr>
      </w:pPr>
      <w:bookmarkStart w:id="16" w:name="_Toc110410367"/>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4"/>
        <w:spacing w:before="0"/>
      </w:pPr>
      <w:bookmarkStart w:id="17" w:name="_Toc1104103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rPr>
                <w:rFonts w:hint="eastAsia" w:eastAsia="宋体"/>
                <w:lang w:eastAsia="zh-CN"/>
              </w:rPr>
            </w:pPr>
            <w:r>
              <w:rPr>
                <w:rFonts w:hint="eastAsia"/>
                <w:lang w:eastAsia="zh-CN"/>
              </w:rPr>
              <w:t>深汕局2022年度价格调研服务项目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ascii="宋体" w:hAnsi="宋体" w:eastAsia="宋体"/>
                <w:snapToGrid w:val="0"/>
                <w:color w:val="auto"/>
                <w:sz w:val="21"/>
                <w:szCs w:val="21"/>
              </w:rPr>
              <w:t>深圳市市场监督管理局深汕监管局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rPr>
              <w:t>2022年</w:t>
            </w:r>
            <w:r>
              <w:rPr>
                <w:rFonts w:hint="eastAsia" w:hAnsi="宋体"/>
                <w:b/>
                <w:lang w:val="en-US" w:eastAsia="zh-CN"/>
              </w:rPr>
              <w:t>10</w:t>
            </w:r>
            <w:r>
              <w:rPr>
                <w:rFonts w:hint="eastAsia" w:hAnsi="宋体"/>
                <w:b/>
              </w:rPr>
              <w:t>月</w:t>
            </w:r>
            <w:r>
              <w:rPr>
                <w:rFonts w:hint="eastAsia" w:hAnsi="宋体"/>
                <w:b/>
                <w:lang w:val="en-US" w:eastAsia="zh-CN"/>
              </w:rPr>
              <w:t>14</w:t>
            </w:r>
            <w:r>
              <w:rPr>
                <w:rFonts w:hint="eastAsia" w:hAnsi="宋体"/>
                <w:b/>
              </w:rPr>
              <w:t>日</w:t>
            </w:r>
            <w:r>
              <w:rPr>
                <w:rFonts w:hint="eastAsia" w:hAnsi="宋体"/>
                <w:b/>
                <w:lang w:val="en-US" w:eastAsia="zh-CN"/>
              </w:rPr>
              <w:t>10</w:t>
            </w:r>
            <w:r>
              <w:rPr>
                <w:rFonts w:hint="eastAsia" w:hAnsi="宋体"/>
                <w:b/>
              </w:rPr>
              <w:t>点</w:t>
            </w:r>
            <w:r>
              <w:rPr>
                <w:rFonts w:hint="eastAsia" w:hAnsi="宋体"/>
                <w:b/>
                <w:lang w:val="en-US" w:eastAsia="zh-CN"/>
              </w:rPr>
              <w:t>00</w:t>
            </w:r>
            <w:r>
              <w:rPr>
                <w:rFonts w:hint="eastAsia" w:hAnsi="宋体"/>
                <w:b/>
              </w:rPr>
              <w:t>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rPr>
              <w:t>2022年</w:t>
            </w:r>
            <w:r>
              <w:rPr>
                <w:rFonts w:hint="eastAsia" w:hAnsi="宋体"/>
                <w:b/>
                <w:lang w:val="en-US" w:eastAsia="zh-CN"/>
              </w:rPr>
              <w:t>10</w:t>
            </w:r>
            <w:r>
              <w:rPr>
                <w:rFonts w:hint="eastAsia" w:hAnsi="宋体"/>
                <w:b/>
              </w:rPr>
              <w:t>月</w:t>
            </w:r>
            <w:r>
              <w:rPr>
                <w:rFonts w:hint="eastAsia" w:hAnsi="宋体"/>
                <w:b/>
                <w:lang w:val="en-US" w:eastAsia="zh-CN"/>
              </w:rPr>
              <w:t>14</w:t>
            </w:r>
            <w:r>
              <w:rPr>
                <w:rFonts w:hint="eastAsia" w:hAnsi="宋体"/>
                <w:b/>
              </w:rPr>
              <w:t>日</w:t>
            </w:r>
            <w:r>
              <w:rPr>
                <w:rFonts w:hint="eastAsia" w:hAnsi="宋体"/>
                <w:b/>
                <w:lang w:val="en-US" w:eastAsia="zh-CN"/>
              </w:rPr>
              <w:t>10</w:t>
            </w:r>
            <w:r>
              <w:rPr>
                <w:rFonts w:hint="eastAsia" w:hAnsi="宋体"/>
                <w:b/>
              </w:rPr>
              <w:t>点</w:t>
            </w:r>
            <w:r>
              <w:rPr>
                <w:rFonts w:hint="eastAsia" w:hAnsi="宋体"/>
                <w:b/>
                <w:lang w:val="en-US" w:eastAsia="zh-CN"/>
              </w:rPr>
              <w:t>00</w:t>
            </w:r>
            <w:r>
              <w:rPr>
                <w:rFonts w:hint="eastAsia" w:hAnsi="宋体"/>
                <w:b/>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4"/>
        <w:spacing w:before="0" w:after="0"/>
        <w:rPr>
          <w:sz w:val="21"/>
          <w:szCs w:val="21"/>
        </w:rPr>
      </w:pPr>
    </w:p>
    <w:p>
      <w:pPr>
        <w:rPr>
          <w:rFonts w:eastAsiaTheme="minorEastAsia"/>
          <w:kern w:val="44"/>
        </w:rPr>
      </w:pPr>
      <w:r>
        <w:rPr>
          <w:szCs w:val="21"/>
        </w:rPr>
        <w:br w:type="page"/>
      </w:r>
    </w:p>
    <w:p>
      <w:pPr>
        <w:pStyle w:val="4"/>
        <w:spacing w:before="0" w:after="0"/>
        <w:rPr>
          <w:sz w:val="21"/>
          <w:szCs w:val="21"/>
        </w:rPr>
      </w:pPr>
    </w:p>
    <w:p>
      <w:pPr>
        <w:pStyle w:val="4"/>
      </w:pPr>
      <w:bookmarkStart w:id="18" w:name="_Toc110410369"/>
      <w:r>
        <w:rPr>
          <w:rFonts w:hint="eastAsia"/>
        </w:rPr>
        <w:t>第六章  投标人须知</w:t>
      </w:r>
      <w:bookmarkEnd w:id="18"/>
    </w:p>
    <w:p>
      <w:pPr>
        <w:pStyle w:val="6"/>
        <w:spacing w:before="0" w:after="0"/>
      </w:pPr>
      <w:bookmarkStart w:id="19" w:name="_Toc1104103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6"/>
        <w:spacing w:before="0" w:after="0"/>
      </w:pPr>
      <w:bookmarkStart w:id="21" w:name="_Toc1104103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6"/>
        <w:spacing w:before="0" w:after="0"/>
      </w:pPr>
      <w:bookmarkStart w:id="22" w:name="q6"/>
      <w:bookmarkEnd w:id="22"/>
      <w:bookmarkStart w:id="23" w:name="_Toc1104103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6"/>
        <w:spacing w:before="0" w:after="0"/>
      </w:pPr>
      <w:bookmarkStart w:id="24" w:name="q7"/>
      <w:bookmarkEnd w:id="24"/>
      <w:bookmarkStart w:id="25" w:name="_Toc1104103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6"/>
        <w:spacing w:before="0" w:after="0"/>
      </w:pPr>
      <w:bookmarkStart w:id="27" w:name="q8"/>
      <w:bookmarkEnd w:id="27"/>
      <w:bookmarkStart w:id="28" w:name="_Toc1104103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6"/>
        <w:spacing w:before="0" w:after="0"/>
      </w:pPr>
      <w:bookmarkStart w:id="30" w:name="_Toc1104103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6"/>
        <w:spacing w:before="0" w:after="0"/>
      </w:pPr>
      <w:bookmarkStart w:id="31" w:name="_Toc1104103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Pr>
        <w:widowControl/>
        <w:jc w:val="left"/>
      </w:pPr>
      <w:r>
        <w:br w:type="page"/>
      </w:r>
    </w:p>
    <w:p/>
    <w:p>
      <w:pPr>
        <w:pStyle w:val="4"/>
      </w:pPr>
      <w:bookmarkStart w:id="34" w:name="_Toc110410377"/>
      <w:r>
        <w:rPr>
          <w:rFonts w:hint="eastAsia"/>
        </w:rPr>
        <w:t>第七章  投标文件格式</w:t>
      </w:r>
      <w:bookmarkEnd w:id="34"/>
    </w:p>
    <w:p>
      <w:pPr>
        <w:jc w:val="center"/>
        <w:rPr>
          <w:b/>
          <w:sz w:val="52"/>
          <w:szCs w:val="52"/>
        </w:rPr>
      </w:pPr>
    </w:p>
    <w:p>
      <w:pPr>
        <w:pStyle w:val="6"/>
        <w:spacing w:line="400" w:lineRule="exact"/>
        <w:rPr>
          <w:rFonts w:ascii="仿宋" w:hAnsi="仿宋" w:eastAsia="仿宋"/>
        </w:rPr>
      </w:pPr>
      <w:bookmarkStart w:id="35" w:name="_Toc110410378"/>
      <w:bookmarkStart w:id="36" w:name="_Toc31468"/>
      <w:bookmarkStart w:id="37" w:name="_Toc44691163"/>
      <w:bookmarkStart w:id="38" w:name="_Toc25194"/>
      <w:bookmarkStart w:id="39" w:name="_Toc44690704"/>
      <w:bookmarkStart w:id="40" w:name="_Toc11772"/>
      <w:bookmarkStart w:id="41" w:name="_Toc44690431"/>
      <w:bookmarkStart w:id="42" w:name="_Toc14934"/>
      <w:bookmarkStart w:id="43" w:name="_Toc44691395"/>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6"/>
        <w:spacing w:line="400" w:lineRule="exact"/>
        <w:rPr>
          <w:rFonts w:ascii="仿宋" w:hAnsi="仿宋" w:eastAsia="仿宋"/>
        </w:rPr>
      </w:pPr>
    </w:p>
    <w:p>
      <w:pPr>
        <w:pStyle w:val="6"/>
        <w:spacing w:line="400" w:lineRule="exact"/>
        <w:rPr>
          <w:rFonts w:ascii="仿宋" w:hAnsi="仿宋" w:eastAsia="仿宋"/>
        </w:rPr>
      </w:pPr>
      <w:bookmarkStart w:id="46" w:name="_Toc1104103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6"/>
        <w:spacing w:line="400" w:lineRule="exact"/>
        <w:rPr>
          <w:rFonts w:ascii="仿宋" w:hAnsi="仿宋" w:eastAsia="仿宋"/>
        </w:rPr>
      </w:pPr>
      <w:bookmarkStart w:id="48" w:name="_Toc1104103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6"/>
        <w:spacing w:line="400" w:lineRule="exact"/>
        <w:rPr>
          <w:rFonts w:ascii="仿宋" w:hAnsi="仿宋" w:eastAsia="仿宋"/>
        </w:rPr>
      </w:pPr>
      <w:bookmarkStart w:id="50" w:name="_Toc1104103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5"/>
        <w:jc w:val="center"/>
      </w:pPr>
    </w:p>
    <w:p/>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0705"/>
      <w:bookmarkStart w:id="53" w:name="_Toc44690432"/>
      <w:bookmarkStart w:id="54" w:name="_Toc44691396"/>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5、其它资格证明材料（如有，按第一章投标邀请“申请人的资格要求”提供）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bookmarkStart w:id="55" w:name="_Toc105681727"/>
      <w:bookmarkStart w:id="56" w:name="_Toc73613641"/>
      <w:r>
        <w:rPr>
          <w:rFonts w:hint="eastAsia"/>
          <w:b/>
          <w:snapToGrid w:val="0"/>
          <w:kern w:val="0"/>
          <w:sz w:val="28"/>
        </w:rPr>
        <w:t>股东构成审查表</w:t>
      </w:r>
      <w:bookmarkEnd w:id="55"/>
      <w:bookmarkEnd w:id="56"/>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7"/>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7"/>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7"/>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0433"/>
      <w:bookmarkStart w:id="59" w:name="_Toc44691397"/>
      <w:bookmarkStart w:id="60" w:name="_Toc44690706"/>
      <w:bookmarkStart w:id="61" w:name="_Toc44691165"/>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4"/>
        <w:gridCol w:w="4111"/>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5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1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534"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深汕局2022年度价格调研服务项目</w:t>
            </w:r>
          </w:p>
        </w:tc>
        <w:tc>
          <w:tcPr>
            <w:tcW w:w="4111"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0434"/>
      <w:bookmarkStart w:id="63" w:name="_Toc44691398"/>
      <w:bookmarkStart w:id="64" w:name="_Toc44691166"/>
      <w:bookmarkStart w:id="65" w:name="_Toc44690707"/>
      <w:r>
        <w:rPr>
          <w:rFonts w:hint="eastAsia" w:asciiTheme="minorEastAsia" w:hAnsiTheme="minorEastAsia" w:eastAsiaTheme="minorEastAsia"/>
          <w:sz w:val="24"/>
        </w:rPr>
        <w:t>格式6  报价表</w:t>
      </w:r>
      <w:bookmarkEnd w:id="62"/>
      <w:bookmarkEnd w:id="63"/>
      <w:bookmarkEnd w:id="64"/>
      <w:bookmarkEnd w:id="6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9"/>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1399"/>
      <w:bookmarkStart w:id="67" w:name="_Toc44690435"/>
      <w:bookmarkStart w:id="68" w:name="_Toc44691167"/>
      <w:bookmarkStart w:id="69" w:name="_Toc44690708"/>
      <w:r>
        <w:rPr>
          <w:rFonts w:hint="eastAsia" w:asciiTheme="minorEastAsia" w:hAnsiTheme="minorEastAsia" w:eastAsiaTheme="minorEastAsia"/>
          <w:sz w:val="24"/>
        </w:rPr>
        <w:t>格式7  服务方案</w:t>
      </w:r>
      <w:bookmarkEnd w:id="66"/>
      <w:bookmarkEnd w:id="67"/>
      <w:bookmarkEnd w:id="68"/>
      <w:bookmarkEnd w:id="69"/>
    </w:p>
    <w:p>
      <w:pPr>
        <w:pStyle w:val="9"/>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3、技术保障措施</w:t>
      </w:r>
    </w:p>
    <w:p>
      <w:pPr>
        <w:spacing w:line="360" w:lineRule="auto"/>
        <w:ind w:firstLine="420" w:firstLineChars="200"/>
        <w:rPr>
          <w:rFonts w:ascii="宋体" w:hAnsi="宋体" w:cs="宋体"/>
          <w:szCs w:val="21"/>
        </w:rPr>
      </w:pPr>
      <w:r>
        <w:rPr>
          <w:rFonts w:hint="eastAsia" w:ascii="宋体" w:hAnsi="宋体" w:cs="宋体"/>
          <w:szCs w:val="21"/>
        </w:rPr>
        <w:t>4、服务人员方案</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项目完成（服务期满）后的服务承诺</w:t>
      </w:r>
    </w:p>
    <w:p>
      <w:pPr>
        <w:spacing w:line="360" w:lineRule="auto"/>
        <w:ind w:firstLine="420" w:firstLineChars="200"/>
        <w:rPr>
          <w:rFonts w:ascii="宋体" w:hAnsi="宋体"/>
          <w:szCs w:val="21"/>
        </w:rPr>
      </w:pPr>
      <w:r>
        <w:rPr>
          <w:rFonts w:hint="eastAsia" w:ascii="宋体" w:hAnsi="宋体"/>
          <w:szCs w:val="21"/>
        </w:rPr>
        <w:t>6、违约承诺</w:t>
      </w:r>
    </w:p>
    <w:p>
      <w:pPr>
        <w:spacing w:line="360" w:lineRule="auto"/>
        <w:ind w:left="420"/>
        <w:rPr>
          <w:rFonts w:hint="eastAsia" w:ascii="宋体" w:hAnsi="宋体" w:eastAsia="宋体"/>
          <w:bCs/>
          <w:lang w:val="en-US" w:eastAsia="zh-CN"/>
        </w:rPr>
      </w:pPr>
      <w:r>
        <w:rPr>
          <w:rFonts w:hint="eastAsia" w:ascii="宋体" w:hAnsi="宋体"/>
          <w:bCs/>
          <w:lang w:val="en-US" w:eastAsia="zh-CN"/>
        </w:rPr>
        <w:t>7、同类项目业绩情况</w:t>
      </w:r>
    </w:p>
    <w:p>
      <w:pPr>
        <w:spacing w:line="360" w:lineRule="auto"/>
        <w:ind w:left="420"/>
        <w:rPr>
          <w:rFonts w:hint="default" w:ascii="宋体" w:hAnsi="宋体" w:eastAsia="宋体"/>
          <w:bCs/>
          <w:lang w:val="en-US" w:eastAsia="zh-CN"/>
        </w:rPr>
      </w:pPr>
      <w:r>
        <w:rPr>
          <w:rFonts w:hint="eastAsia" w:ascii="宋体" w:hAnsi="宋体"/>
          <w:bCs/>
          <w:lang w:val="en-US" w:eastAsia="zh-CN"/>
        </w:rPr>
        <w:t>8、诚信评审</w:t>
      </w:r>
    </w:p>
    <w:p>
      <w:pPr>
        <w:spacing w:line="360" w:lineRule="auto"/>
        <w:ind w:left="420"/>
        <w:rPr>
          <w:rFonts w:ascii="宋体" w:hAnsi="宋体"/>
          <w:bCs/>
        </w:rPr>
      </w:pPr>
      <w:r>
        <w:rPr>
          <w:rFonts w:hint="eastAsia" w:ascii="宋体" w:hAnsi="宋体"/>
          <w:bCs/>
          <w:lang w:val="en-US" w:eastAsia="zh-CN"/>
        </w:rPr>
        <w:t>9</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rPr>
          <w:rFonts w:hint="eastAsia"/>
        </w:rPr>
      </w:pPr>
      <w:r>
        <w:rPr>
          <w:rFonts w:hint="eastAsia"/>
        </w:rPr>
        <w:br w:type="page"/>
      </w: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5"/>
        <w:spacing w:before="0"/>
        <w:rPr>
          <w:rFonts w:ascii="宋体" w:hAnsi="宋体"/>
          <w:sz w:val="28"/>
        </w:rPr>
      </w:pPr>
    </w:p>
    <w:p/>
    <w:p/>
    <w:p/>
    <w:p/>
    <w:p/>
    <w:p/>
    <w:p/>
    <w:p/>
    <w:p/>
    <w:p/>
    <w:p/>
    <w:p/>
    <w:p/>
    <w:p/>
    <w:p/>
    <w:p/>
    <w:p/>
    <w:p/>
    <w:p/>
    <w:p/>
    <w:p/>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Toc44690709"/>
      <w:bookmarkStart w:id="71" w:name="_Toc44690436"/>
      <w:bookmarkStart w:id="72" w:name="_Toc44691168"/>
      <w:bookmarkStart w:id="73" w:name="_Toc44691400"/>
      <w:r>
        <w:rPr>
          <w:rFonts w:hint="eastAsia" w:asciiTheme="minorEastAsia" w:hAnsiTheme="minorEastAsia" w:eastAsiaTheme="minorEastAsia"/>
          <w:sz w:val="24"/>
        </w:rPr>
        <w:t>格式9  偏离表</w:t>
      </w:r>
      <w:bookmarkEnd w:id="70"/>
      <w:bookmarkEnd w:id="71"/>
      <w:bookmarkEnd w:id="72"/>
      <w:bookmarkEnd w:id="73"/>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4" w:name="_格式4__"/>
      <w:bookmarkEnd w:id="74"/>
      <w:bookmarkStart w:id="75" w:name="_格式3__"/>
      <w:bookmarkEnd w:id="75"/>
      <w:bookmarkStart w:id="76" w:name="q16"/>
      <w:bookmarkEnd w:id="76"/>
      <w:bookmarkStart w:id="77" w:name="_格式2__投标保证金凭证"/>
      <w:bookmarkEnd w:id="77"/>
      <w:bookmarkStart w:id="78" w:name="_格式5__"/>
      <w:bookmarkEnd w:id="78"/>
      <w:bookmarkStart w:id="79" w:name="q17"/>
      <w:bookmarkEnd w:id="79"/>
      <w:bookmarkStart w:id="80" w:name="q15"/>
      <w:bookmarkEnd w:id="80"/>
      <w:r>
        <w:rPr>
          <w:rFonts w:asciiTheme="minorEastAsia" w:hAnsiTheme="minorEastAsia" w:eastAsiaTheme="minorEastAsia"/>
          <w:sz w:val="24"/>
        </w:rPr>
        <w:tab/>
      </w:r>
      <w:bookmarkStart w:id="81" w:name="_Toc44690710"/>
      <w:bookmarkStart w:id="82" w:name="_Toc44690437"/>
      <w:bookmarkStart w:id="83" w:name="_Toc44691169"/>
      <w:bookmarkStart w:id="84" w:name="_Toc44691401"/>
      <w:r>
        <w:rPr>
          <w:rFonts w:hint="eastAsia" w:asciiTheme="minorEastAsia" w:hAnsiTheme="minorEastAsia" w:eastAsiaTheme="minorEastAsia"/>
          <w:sz w:val="24"/>
        </w:rPr>
        <w:t xml:space="preserve">格式10  </w:t>
      </w:r>
      <w:bookmarkEnd w:id="81"/>
      <w:bookmarkEnd w:id="82"/>
      <w:bookmarkEnd w:id="83"/>
      <w:bookmarkEnd w:id="84"/>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4"/>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4"/>
      </w:pPr>
      <w:bookmarkStart w:id="85" w:name="_Toc110410382"/>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7"/>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7"/>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7"/>
        <w:snapToGrid w:val="0"/>
        <w:spacing w:line="360" w:lineRule="auto"/>
        <w:ind w:firstLine="422" w:firstLineChars="200"/>
        <w:rPr>
          <w:rFonts w:hAnsi="宋体"/>
          <w:b/>
          <w:szCs w:val="21"/>
        </w:rPr>
      </w:pPr>
      <w:r>
        <w:rPr>
          <w:rFonts w:hint="eastAsia" w:hAnsi="宋体"/>
          <w:b/>
          <w:szCs w:val="21"/>
        </w:rPr>
        <w:t>二、合同金额</w:t>
      </w:r>
    </w:p>
    <w:p>
      <w:pPr>
        <w:pStyle w:val="27"/>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7"/>
        <w:snapToGrid w:val="0"/>
        <w:spacing w:line="360" w:lineRule="auto"/>
        <w:ind w:firstLine="422" w:firstLineChars="200"/>
        <w:rPr>
          <w:rFonts w:hAnsi="宋体"/>
          <w:b/>
          <w:szCs w:val="21"/>
        </w:rPr>
      </w:pPr>
      <w:r>
        <w:rPr>
          <w:rFonts w:hint="eastAsia" w:hAnsi="宋体"/>
          <w:b/>
          <w:szCs w:val="21"/>
        </w:rPr>
        <w:t>三、技术资料</w:t>
      </w:r>
    </w:p>
    <w:p>
      <w:pPr>
        <w:pStyle w:val="27"/>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7"/>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7"/>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7"/>
        <w:snapToGrid w:val="0"/>
        <w:spacing w:line="360" w:lineRule="auto"/>
        <w:ind w:firstLine="422" w:firstLineChars="200"/>
        <w:rPr>
          <w:rFonts w:hAnsi="宋体"/>
          <w:b/>
          <w:szCs w:val="21"/>
        </w:rPr>
      </w:pPr>
      <w:r>
        <w:rPr>
          <w:rFonts w:hint="eastAsia" w:hAnsi="宋体"/>
          <w:b/>
          <w:szCs w:val="21"/>
        </w:rPr>
        <w:t>四、知识产权</w:t>
      </w:r>
    </w:p>
    <w:p>
      <w:pPr>
        <w:pStyle w:val="27"/>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7"/>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7"/>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7"/>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7"/>
        <w:snapToGrid w:val="0"/>
        <w:spacing w:line="360" w:lineRule="auto"/>
        <w:ind w:firstLine="422" w:firstLineChars="200"/>
        <w:rPr>
          <w:rFonts w:hAnsi="宋体"/>
          <w:b/>
          <w:szCs w:val="21"/>
        </w:rPr>
      </w:pPr>
      <w:r>
        <w:rPr>
          <w:rFonts w:hint="eastAsia" w:hAnsi="宋体"/>
          <w:b/>
          <w:szCs w:val="21"/>
        </w:rPr>
        <w:t>十、付款方式和税费</w:t>
      </w:r>
    </w:p>
    <w:p>
      <w:pPr>
        <w:pStyle w:val="27"/>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7"/>
        <w:snapToGrid w:val="0"/>
        <w:spacing w:line="360" w:lineRule="auto"/>
        <w:ind w:firstLine="422" w:firstLineChars="200"/>
        <w:rPr>
          <w:rFonts w:hAnsi="宋体"/>
          <w:b/>
          <w:szCs w:val="21"/>
        </w:rPr>
      </w:pPr>
      <w:r>
        <w:rPr>
          <w:rFonts w:hint="eastAsia" w:hAnsi="宋体"/>
          <w:b/>
          <w:szCs w:val="21"/>
        </w:rPr>
        <w:t>十二、违约责任</w:t>
      </w:r>
    </w:p>
    <w:p>
      <w:pPr>
        <w:pStyle w:val="27"/>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4"/>
      </w:pPr>
      <w:bookmarkStart w:id="86" w:name="_Toc110410383"/>
      <w:bookmarkStart w:id="87" w:name="_Toc73610161"/>
      <w:r>
        <w:rPr>
          <w:rFonts w:hint="eastAsia"/>
        </w:rPr>
        <w:t>第九章  附件</w:t>
      </w:r>
      <w:bookmarkEnd w:id="86"/>
      <w:bookmarkEnd w:id="87"/>
    </w:p>
    <w:p>
      <w:pPr>
        <w:pStyle w:val="6"/>
        <w:spacing w:before="0" w:after="0"/>
      </w:pPr>
      <w:bookmarkStart w:id="88" w:name="_Toc110410384"/>
      <w:bookmarkStart w:id="89" w:name="_Toc73610162"/>
      <w:r>
        <w:rPr>
          <w:rFonts w:hint="eastAsia"/>
        </w:rPr>
        <w:t>一、财政部 工业和信息化部关于印发《政府采购促进中小企业发展管理办法》的通知</w:t>
      </w:r>
      <w:bookmarkEnd w:id="88"/>
      <w:bookmarkEnd w:id="89"/>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6"/>
        <w:spacing w:before="0" w:after="0"/>
      </w:pPr>
      <w:bookmarkStart w:id="90" w:name="_Toc73610163"/>
      <w:bookmarkStart w:id="91" w:name="_Toc110410385"/>
      <w:r>
        <w:rPr>
          <w:rFonts w:hint="eastAsia"/>
        </w:rPr>
        <w:t>二、关于印发中小企业划型标准规定的通知</w:t>
      </w:r>
      <w:bookmarkEnd w:id="90"/>
      <w:bookmarkEnd w:id="91"/>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6"/>
        <w:spacing w:before="0" w:after="0"/>
      </w:pPr>
      <w:bookmarkStart w:id="92" w:name="_Toc110410386"/>
      <w:bookmarkStart w:id="93" w:name="_Toc73610164"/>
      <w:r>
        <w:rPr>
          <w:rFonts w:hint="eastAsia"/>
        </w:rPr>
        <w:t>三、</w:t>
      </w:r>
      <w:r>
        <w:t>国家统计局关于印发《统计上大中小微型企业划分办法 （2017）》的通知</w:t>
      </w:r>
      <w:bookmarkEnd w:id="92"/>
      <w:bookmarkEnd w:id="93"/>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6"/>
        <w:spacing w:before="0" w:after="0"/>
      </w:pPr>
      <w:bookmarkStart w:id="94" w:name="_Toc73610165"/>
      <w:bookmarkStart w:id="95" w:name="_Toc110410387"/>
      <w:r>
        <w:rPr>
          <w:rFonts w:hint="eastAsia"/>
        </w:rPr>
        <w:t>四、</w:t>
      </w:r>
      <w:r>
        <w:t>财政部 民政部 中国残疾人联合会关于促进残疾人就业 政府采购政策的通知</w:t>
      </w:r>
      <w:bookmarkEnd w:id="94"/>
      <w:bookmarkEnd w:id="95"/>
      <w:r>
        <w:t xml:space="preserve"> </w:t>
      </w:r>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w:t>
    </w:r>
    <w:r>
      <w:rPr>
        <w:rStyle w:val="54"/>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pPr>
    <w:r>
      <w:rPr>
        <w:rFonts w:hint="eastAsia"/>
      </w:rPr>
      <w:t>项目名称：</w:t>
    </w:r>
    <w:r>
      <w:rPr>
        <w:rFonts w:hint="eastAsia" w:asciiTheme="minorEastAsia" w:hAnsiTheme="minorEastAsia" w:eastAsiaTheme="minorEastAsia"/>
        <w:lang w:eastAsia="zh-CN"/>
      </w:rPr>
      <w:t>深汕局2022年度价格调研服务项目</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SZZZ2022- QC0342</w:t>
    </w:r>
    <w:r>
      <w:tab/>
    </w:r>
  </w:p>
  <w:p>
    <w:pPr>
      <w:pStyle w:val="33"/>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22EA"/>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5D14"/>
    <w:rsid w:val="00FF7533"/>
    <w:rsid w:val="01A6234D"/>
    <w:rsid w:val="01F0299B"/>
    <w:rsid w:val="026E4F91"/>
    <w:rsid w:val="041D095D"/>
    <w:rsid w:val="04DE5DA9"/>
    <w:rsid w:val="0522644D"/>
    <w:rsid w:val="05C87DB9"/>
    <w:rsid w:val="0961739E"/>
    <w:rsid w:val="098E6083"/>
    <w:rsid w:val="0B205B2B"/>
    <w:rsid w:val="0B782559"/>
    <w:rsid w:val="0D566BC9"/>
    <w:rsid w:val="0E180322"/>
    <w:rsid w:val="0E6D45AA"/>
    <w:rsid w:val="0E8C4995"/>
    <w:rsid w:val="0EF27BFB"/>
    <w:rsid w:val="0FBC50EF"/>
    <w:rsid w:val="10D91A83"/>
    <w:rsid w:val="115F3FD7"/>
    <w:rsid w:val="11A259DD"/>
    <w:rsid w:val="120474A0"/>
    <w:rsid w:val="13102ABE"/>
    <w:rsid w:val="14D93E23"/>
    <w:rsid w:val="167D280D"/>
    <w:rsid w:val="1692650C"/>
    <w:rsid w:val="16EF3DAF"/>
    <w:rsid w:val="17047766"/>
    <w:rsid w:val="17935895"/>
    <w:rsid w:val="17F52C18"/>
    <w:rsid w:val="184530EF"/>
    <w:rsid w:val="19227A4B"/>
    <w:rsid w:val="1B3E182A"/>
    <w:rsid w:val="1B4B5195"/>
    <w:rsid w:val="1C174C6F"/>
    <w:rsid w:val="1C7C020D"/>
    <w:rsid w:val="1C8F78BA"/>
    <w:rsid w:val="1C9B0D84"/>
    <w:rsid w:val="1CDD3F3B"/>
    <w:rsid w:val="1D4D6869"/>
    <w:rsid w:val="1F293871"/>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B949A8"/>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9CA3E86"/>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0F73284"/>
    <w:rsid w:val="51D10A66"/>
    <w:rsid w:val="528A390F"/>
    <w:rsid w:val="528C6991"/>
    <w:rsid w:val="52C3297B"/>
    <w:rsid w:val="54054633"/>
    <w:rsid w:val="540605E4"/>
    <w:rsid w:val="547F0032"/>
    <w:rsid w:val="54A02A20"/>
    <w:rsid w:val="55C87B3E"/>
    <w:rsid w:val="58D67D8C"/>
    <w:rsid w:val="58E10577"/>
    <w:rsid w:val="59165EF7"/>
    <w:rsid w:val="59702A12"/>
    <w:rsid w:val="5A90452E"/>
    <w:rsid w:val="5AED2A9C"/>
    <w:rsid w:val="5BC746C9"/>
    <w:rsid w:val="5CC61F72"/>
    <w:rsid w:val="5CF206F7"/>
    <w:rsid w:val="5EA0340D"/>
    <w:rsid w:val="5ED66C3C"/>
    <w:rsid w:val="5F2B6854"/>
    <w:rsid w:val="5FDD643B"/>
    <w:rsid w:val="60BA3E42"/>
    <w:rsid w:val="6194383B"/>
    <w:rsid w:val="61CB5375"/>
    <w:rsid w:val="623348CA"/>
    <w:rsid w:val="655067F7"/>
    <w:rsid w:val="65CA685B"/>
    <w:rsid w:val="65CF34A7"/>
    <w:rsid w:val="65F660EF"/>
    <w:rsid w:val="6673798C"/>
    <w:rsid w:val="673905B6"/>
    <w:rsid w:val="681C3942"/>
    <w:rsid w:val="68460AAC"/>
    <w:rsid w:val="68AC1CFE"/>
    <w:rsid w:val="6BCD1DE6"/>
    <w:rsid w:val="6C505023"/>
    <w:rsid w:val="6D14299F"/>
    <w:rsid w:val="6D672A1E"/>
    <w:rsid w:val="6DC237D1"/>
    <w:rsid w:val="6F40725E"/>
    <w:rsid w:val="6F4C2770"/>
    <w:rsid w:val="70FC0717"/>
    <w:rsid w:val="711172CF"/>
    <w:rsid w:val="71FD54DD"/>
    <w:rsid w:val="739A7F5B"/>
    <w:rsid w:val="7410294D"/>
    <w:rsid w:val="76D71644"/>
    <w:rsid w:val="77444E10"/>
    <w:rsid w:val="776C2FB6"/>
    <w:rsid w:val="77F57C6E"/>
    <w:rsid w:val="78D15FE5"/>
    <w:rsid w:val="79982284"/>
    <w:rsid w:val="7998662D"/>
    <w:rsid w:val="7A8C5878"/>
    <w:rsid w:val="7B471854"/>
    <w:rsid w:val="7C38637B"/>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6">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5">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7">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64"/>
    <w:qFormat/>
    <w:uiPriority w:val="0"/>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9"/>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9"/>
    <w:link w:val="66"/>
    <w:qFormat/>
    <w:uiPriority w:val="9"/>
    <w:pPr>
      <w:keepNext/>
      <w:keepLines/>
      <w:numPr>
        <w:ilvl w:val="6"/>
        <w:numId w:val="1"/>
      </w:numPr>
      <w:spacing w:before="240" w:after="64" w:line="319" w:lineRule="auto"/>
      <w:outlineLvl w:val="6"/>
    </w:pPr>
    <w:rPr>
      <w:b/>
      <w:sz w:val="24"/>
    </w:rPr>
  </w:style>
  <w:style w:type="paragraph" w:styleId="12">
    <w:name w:val="heading 8"/>
    <w:basedOn w:val="1"/>
    <w:next w:val="9"/>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9"/>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1"/>
    <w:qFormat/>
    <w:uiPriority w:val="0"/>
    <w:pPr>
      <w:spacing w:after="120"/>
    </w:pPr>
  </w:style>
  <w:style w:type="paragraph" w:styleId="3">
    <w:name w:val="Title"/>
    <w:basedOn w:val="1"/>
    <w:next w:val="1"/>
    <w:link w:val="81"/>
    <w:qFormat/>
    <w:uiPriority w:val="0"/>
    <w:pPr>
      <w:spacing w:before="240" w:after="60"/>
      <w:jc w:val="center"/>
      <w:outlineLvl w:val="0"/>
    </w:pPr>
    <w:rPr>
      <w:rFonts w:ascii="Arial" w:hAnsi="Arial" w:eastAsia="隶书"/>
      <w:b/>
      <w:bCs/>
      <w:sz w:val="32"/>
      <w:szCs w:val="32"/>
    </w:rPr>
  </w:style>
  <w:style w:type="paragraph" w:styleId="9">
    <w:name w:val="Normal Indent"/>
    <w:basedOn w:val="1"/>
    <w:link w:val="63"/>
    <w:qFormat/>
    <w:uiPriority w:val="0"/>
    <w:pPr>
      <w:ind w:firstLine="420" w:firstLineChars="200"/>
    </w:pPr>
  </w:style>
  <w:style w:type="paragraph" w:styleId="14">
    <w:name w:val="toc 7"/>
    <w:basedOn w:val="1"/>
    <w:next w:val="1"/>
    <w:qFormat/>
    <w:uiPriority w:val="0"/>
    <w:pPr>
      <w:ind w:left="1260"/>
      <w:jc w:val="left"/>
    </w:pPr>
    <w:rPr>
      <w:szCs w:val="21"/>
    </w:rPr>
  </w:style>
  <w:style w:type="paragraph" w:styleId="15">
    <w:name w:val="List Number 2"/>
    <w:basedOn w:val="1"/>
    <w:qFormat/>
    <w:uiPriority w:val="0"/>
    <w:pPr>
      <w:tabs>
        <w:tab w:val="left" w:pos="780"/>
      </w:tabs>
      <w:ind w:left="780" w:hanging="360"/>
    </w:pPr>
    <w:rPr>
      <w:szCs w:val="20"/>
    </w:rPr>
  </w:style>
  <w:style w:type="paragraph" w:styleId="16">
    <w:name w:val="List Bullet 4"/>
    <w:basedOn w:val="1"/>
    <w:qFormat/>
    <w:uiPriority w:val="0"/>
    <w:pPr>
      <w:tabs>
        <w:tab w:val="left" w:pos="425"/>
        <w:tab w:val="left" w:pos="1620"/>
      </w:tabs>
      <w:ind w:left="425" w:hanging="425"/>
    </w:pPr>
    <w:rPr>
      <w:szCs w:val="20"/>
    </w:rPr>
  </w:style>
  <w:style w:type="paragraph" w:styleId="17">
    <w:name w:val="caption"/>
    <w:basedOn w:val="1"/>
    <w:next w:val="1"/>
    <w:link w:val="297"/>
    <w:qFormat/>
    <w:uiPriority w:val="0"/>
    <w:rPr>
      <w:rFonts w:ascii="Cambria" w:hAnsi="Cambria" w:eastAsia="黑体"/>
    </w:rPr>
  </w:style>
  <w:style w:type="paragraph" w:styleId="18">
    <w:name w:val="List Bullet"/>
    <w:basedOn w:val="1"/>
    <w:qFormat/>
    <w:uiPriority w:val="0"/>
    <w:pPr>
      <w:numPr>
        <w:ilvl w:val="0"/>
        <w:numId w:val="1"/>
      </w:numPr>
      <w:tabs>
        <w:tab w:val="left" w:pos="360"/>
        <w:tab w:val="clear" w:pos="371"/>
      </w:tabs>
    </w:pPr>
    <w:rPr>
      <w:szCs w:val="20"/>
    </w:rPr>
  </w:style>
  <w:style w:type="paragraph" w:styleId="19">
    <w:name w:val="Document Map"/>
    <w:basedOn w:val="1"/>
    <w:link w:val="73"/>
    <w:qFormat/>
    <w:uiPriority w:val="0"/>
    <w:pPr>
      <w:shd w:val="clear" w:color="auto" w:fill="000080"/>
    </w:pPr>
  </w:style>
  <w:style w:type="paragraph" w:styleId="20">
    <w:name w:val="annotation text"/>
    <w:basedOn w:val="1"/>
    <w:link w:val="69"/>
    <w:qFormat/>
    <w:uiPriority w:val="99"/>
    <w:pPr>
      <w:jc w:val="left"/>
    </w:pPr>
  </w:style>
  <w:style w:type="paragraph" w:styleId="21">
    <w:name w:val="Body Text 3"/>
    <w:basedOn w:val="1"/>
    <w:link w:val="458"/>
    <w:unhideWhenUsed/>
    <w:qFormat/>
    <w:uiPriority w:val="0"/>
    <w:pPr>
      <w:spacing w:after="120"/>
    </w:pPr>
    <w:rPr>
      <w:sz w:val="16"/>
      <w:szCs w:val="16"/>
    </w:r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5"/>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6"/>
    <w:qFormat/>
    <w:uiPriority w:val="0"/>
    <w:pPr>
      <w:spacing w:after="120" w:line="480" w:lineRule="auto"/>
      <w:ind w:left="420" w:leftChars="200"/>
    </w:pPr>
  </w:style>
  <w:style w:type="paragraph" w:styleId="31">
    <w:name w:val="Balloon Text"/>
    <w:basedOn w:val="1"/>
    <w:link w:val="77"/>
    <w:qFormat/>
    <w:uiPriority w:val="0"/>
    <w:rPr>
      <w:sz w:val="18"/>
      <w:szCs w:val="18"/>
    </w:rPr>
  </w:style>
  <w:style w:type="paragraph" w:styleId="32">
    <w:name w:val="footer"/>
    <w:basedOn w:val="1"/>
    <w:link w:val="78"/>
    <w:qFormat/>
    <w:uiPriority w:val="99"/>
    <w:pPr>
      <w:tabs>
        <w:tab w:val="center" w:pos="4153"/>
        <w:tab w:val="right" w:pos="8306"/>
      </w:tabs>
      <w:snapToGrid w:val="0"/>
      <w:jc w:val="left"/>
    </w:pPr>
    <w:rPr>
      <w:sz w:val="18"/>
      <w:szCs w:val="18"/>
    </w:rPr>
  </w:style>
  <w:style w:type="paragraph" w:styleId="33">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7"/>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81"/>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3"/>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6"/>
    <w:qFormat/>
    <w:uiPriority w:val="0"/>
    <w:rPr>
      <w:sz w:val="28"/>
      <w:szCs w:val="20"/>
    </w:rPr>
  </w:style>
  <w:style w:type="paragraph" w:styleId="45">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annotation subject"/>
    <w:basedOn w:val="20"/>
    <w:next w:val="20"/>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5"/>
    <w:qFormat/>
    <w:uiPriority w:val="0"/>
    <w:rPr>
      <w:b/>
      <w:bCs/>
      <w:kern w:val="2"/>
      <w:sz w:val="24"/>
      <w:szCs w:val="32"/>
    </w:rPr>
  </w:style>
  <w:style w:type="character" w:customStyle="1" w:styleId="60">
    <w:name w:val="标题 1 Char"/>
    <w:basedOn w:val="52"/>
    <w:link w:val="4"/>
    <w:qFormat/>
    <w:uiPriority w:val="0"/>
    <w:rPr>
      <w:rFonts w:eastAsiaTheme="minorEastAsia"/>
      <w:b/>
      <w:kern w:val="44"/>
      <w:sz w:val="44"/>
      <w:szCs w:val="28"/>
    </w:rPr>
  </w:style>
  <w:style w:type="character" w:customStyle="1" w:styleId="61">
    <w:name w:val="标题 2 Char"/>
    <w:basedOn w:val="52"/>
    <w:link w:val="6"/>
    <w:qFormat/>
    <w:uiPriority w:val="0"/>
    <w:rPr>
      <w:rFonts w:ascii="Arial" w:hAnsi="Arial" w:eastAsiaTheme="minorEastAsia"/>
      <w:b/>
      <w:bCs/>
      <w:kern w:val="2"/>
      <w:sz w:val="28"/>
      <w:szCs w:val="32"/>
    </w:rPr>
  </w:style>
  <w:style w:type="character" w:customStyle="1" w:styleId="62">
    <w:name w:val="标题 4 Char1"/>
    <w:basedOn w:val="52"/>
    <w:link w:val="7"/>
    <w:qFormat/>
    <w:uiPriority w:val="99"/>
    <w:rPr>
      <w:rFonts w:ascii="Arial" w:hAnsi="Arial" w:eastAsia="黑体"/>
      <w:b/>
      <w:bCs/>
      <w:kern w:val="2"/>
      <w:sz w:val="28"/>
      <w:szCs w:val="28"/>
    </w:rPr>
  </w:style>
  <w:style w:type="character" w:customStyle="1" w:styleId="63">
    <w:name w:val="正文缩进 Char"/>
    <w:link w:val="9"/>
    <w:qFormat/>
    <w:uiPriority w:val="0"/>
    <w:rPr>
      <w:rFonts w:eastAsia="宋体"/>
      <w:kern w:val="2"/>
      <w:sz w:val="21"/>
      <w:szCs w:val="24"/>
      <w:lang w:val="en-US" w:eastAsia="zh-CN" w:bidi="ar-SA"/>
    </w:rPr>
  </w:style>
  <w:style w:type="character" w:customStyle="1" w:styleId="64">
    <w:name w:val="标题 5 Char1"/>
    <w:basedOn w:val="52"/>
    <w:link w:val="8"/>
    <w:qFormat/>
    <w:uiPriority w:val="0"/>
    <w:rPr>
      <w:b/>
      <w:kern w:val="2"/>
      <w:sz w:val="28"/>
      <w:szCs w:val="24"/>
    </w:rPr>
  </w:style>
  <w:style w:type="character" w:customStyle="1" w:styleId="65">
    <w:name w:val="标题 6 Char1"/>
    <w:basedOn w:val="52"/>
    <w:link w:val="10"/>
    <w:qFormat/>
    <w:uiPriority w:val="9"/>
    <w:rPr>
      <w:rFonts w:ascii="Arial" w:hAnsi="Arial" w:eastAsia="黑体"/>
      <w:b/>
      <w:kern w:val="2"/>
      <w:sz w:val="24"/>
      <w:szCs w:val="24"/>
    </w:rPr>
  </w:style>
  <w:style w:type="character" w:customStyle="1" w:styleId="66">
    <w:name w:val="标题 7 Char1"/>
    <w:basedOn w:val="52"/>
    <w:link w:val="11"/>
    <w:qFormat/>
    <w:uiPriority w:val="9"/>
    <w:rPr>
      <w:b/>
      <w:kern w:val="2"/>
      <w:sz w:val="24"/>
      <w:szCs w:val="24"/>
    </w:rPr>
  </w:style>
  <w:style w:type="character" w:customStyle="1" w:styleId="67">
    <w:name w:val="标题 8 Char1"/>
    <w:basedOn w:val="52"/>
    <w:link w:val="12"/>
    <w:qFormat/>
    <w:uiPriority w:val="9"/>
    <w:rPr>
      <w:rFonts w:ascii="Arial" w:hAnsi="Arial" w:eastAsia="黑体"/>
      <w:kern w:val="2"/>
      <w:sz w:val="24"/>
      <w:szCs w:val="24"/>
    </w:rPr>
  </w:style>
  <w:style w:type="character" w:customStyle="1" w:styleId="68">
    <w:name w:val="标题 9 Char1"/>
    <w:basedOn w:val="52"/>
    <w:link w:val="13"/>
    <w:qFormat/>
    <w:uiPriority w:val="0"/>
    <w:rPr>
      <w:rFonts w:ascii="Arial" w:hAnsi="Arial" w:eastAsia="黑体"/>
      <w:kern w:val="2"/>
      <w:sz w:val="21"/>
      <w:szCs w:val="24"/>
    </w:rPr>
  </w:style>
  <w:style w:type="character" w:customStyle="1" w:styleId="69">
    <w:name w:val="批注文字 Char"/>
    <w:link w:val="20"/>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9"/>
    <w:qFormat/>
    <w:uiPriority w:val="0"/>
    <w:rPr>
      <w:kern w:val="2"/>
      <w:sz w:val="21"/>
      <w:szCs w:val="24"/>
      <w:shd w:val="clear" w:color="auto" w:fill="000080"/>
    </w:rPr>
  </w:style>
  <w:style w:type="character" w:customStyle="1" w:styleId="74">
    <w:name w:val="正文文本缩进 Char1"/>
    <w:basedOn w:val="52"/>
    <w:link w:val="22"/>
    <w:qFormat/>
    <w:uiPriority w:val="0"/>
    <w:rPr>
      <w:kern w:val="2"/>
      <w:sz w:val="21"/>
      <w:szCs w:val="24"/>
    </w:rPr>
  </w:style>
  <w:style w:type="character" w:customStyle="1" w:styleId="75">
    <w:name w:val="纯文本 Char"/>
    <w:link w:val="27"/>
    <w:qFormat/>
    <w:uiPriority w:val="0"/>
    <w:rPr>
      <w:rFonts w:ascii="宋体" w:hAnsi="Courier New" w:eastAsia="宋体"/>
      <w:kern w:val="2"/>
      <w:sz w:val="21"/>
      <w:lang w:val="en-US" w:eastAsia="zh-CN" w:bidi="ar-SA"/>
    </w:rPr>
  </w:style>
  <w:style w:type="character" w:customStyle="1" w:styleId="76">
    <w:name w:val="正文文本缩进 2 Char1"/>
    <w:link w:val="30"/>
    <w:qFormat/>
    <w:uiPriority w:val="0"/>
    <w:rPr>
      <w:kern w:val="2"/>
      <w:sz w:val="21"/>
      <w:szCs w:val="24"/>
    </w:rPr>
  </w:style>
  <w:style w:type="character" w:customStyle="1" w:styleId="77">
    <w:name w:val="批注框文本 Char"/>
    <w:basedOn w:val="52"/>
    <w:link w:val="31"/>
    <w:qFormat/>
    <w:uiPriority w:val="99"/>
    <w:rPr>
      <w:kern w:val="2"/>
      <w:sz w:val="18"/>
      <w:szCs w:val="18"/>
    </w:rPr>
  </w:style>
  <w:style w:type="character" w:customStyle="1" w:styleId="78">
    <w:name w:val="页脚 Char"/>
    <w:basedOn w:val="52"/>
    <w:link w:val="32"/>
    <w:qFormat/>
    <w:uiPriority w:val="99"/>
    <w:rPr>
      <w:kern w:val="2"/>
      <w:sz w:val="18"/>
      <w:szCs w:val="18"/>
    </w:rPr>
  </w:style>
  <w:style w:type="character" w:customStyle="1" w:styleId="79">
    <w:name w:val="页眉 Char"/>
    <w:link w:val="33"/>
    <w:qFormat/>
    <w:uiPriority w:val="99"/>
    <w:rPr>
      <w:kern w:val="2"/>
      <w:sz w:val="18"/>
      <w:szCs w:val="18"/>
    </w:rPr>
  </w:style>
  <w:style w:type="character" w:customStyle="1" w:styleId="80">
    <w:name w:val="HTML 预设格式 Char1"/>
    <w:link w:val="45"/>
    <w:qFormat/>
    <w:uiPriority w:val="0"/>
    <w:rPr>
      <w:rFonts w:ascii="宋体" w:hAnsi="宋体" w:cs="宋体"/>
      <w:sz w:val="24"/>
      <w:szCs w:val="24"/>
    </w:rPr>
  </w:style>
  <w:style w:type="character" w:customStyle="1" w:styleId="81">
    <w:name w:val="标题 Char"/>
    <w:link w:val="3"/>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3"/>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4"/>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5"/>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7"/>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7"/>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4"/>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1"/>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9"/>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6"/>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8"/>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5"/>
    <w:qFormat/>
    <w:uiPriority w:val="0"/>
    <w:pPr>
      <w:tabs>
        <w:tab w:val="right" w:leader="dot" w:pos="9458"/>
      </w:tabs>
    </w:pPr>
    <w:rPr>
      <w:b w:val="0"/>
    </w:rPr>
  </w:style>
  <w:style w:type="paragraph" w:customStyle="1" w:styleId="369">
    <w:name w:val="TOC 标题1"/>
    <w:basedOn w:val="4"/>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4"/>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7"/>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1"/>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9"/>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7"/>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7"/>
    <w:qFormat/>
    <w:uiPriority w:val="0"/>
    <w:rPr>
      <w:rFonts w:ascii="宋体" w:hAnsi="Courier New"/>
      <w:szCs w:val="20"/>
    </w:rPr>
  </w:style>
  <w:style w:type="character" w:customStyle="1" w:styleId="481">
    <w:name w:val="脚注文本 Char2"/>
    <w:basedOn w:val="52"/>
    <w:link w:val="39"/>
    <w:semiHidden/>
    <w:qFormat/>
    <w:uiPriority w:val="0"/>
    <w:rPr>
      <w:kern w:val="2"/>
      <w:sz w:val="18"/>
      <w:szCs w:val="18"/>
    </w:rPr>
  </w:style>
  <w:style w:type="paragraph" w:customStyle="1" w:styleId="482">
    <w:name w:val="_Style 56"/>
    <w:basedOn w:val="1"/>
    <w:next w:val="27"/>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7"/>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7"/>
    <w:qFormat/>
    <w:uiPriority w:val="0"/>
    <w:rPr>
      <w:rFonts w:ascii="宋体" w:hAnsi="Courier New"/>
      <w:szCs w:val="20"/>
    </w:rPr>
  </w:style>
  <w:style w:type="paragraph" w:customStyle="1" w:styleId="501">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0736D-21F2-4AAA-8AE3-FB026078326B}">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69</Pages>
  <Words>40893</Words>
  <Characters>44138</Characters>
  <Lines>367</Lines>
  <Paragraphs>103</Paragraphs>
  <TotalTime>0</TotalTime>
  <ScaleCrop>false</ScaleCrop>
  <LinksUpToDate>false</LinksUpToDate>
  <CharactersWithSpaces>46483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2022-09-30T08:59:38Z</dcterms:modified>
  <dc:title>招标编号：UHO2010-G0029</dc:title>
  <cp:revision>555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E7EFCA99BA2A42C1A83BB3F37221F387</vt:lpwstr>
  </property>
</Properties>
</file>